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BFF4C" w14:textId="77777777" w:rsidR="00BB60FD" w:rsidRPr="006C4CFB" w:rsidRDefault="00BB60FD" w:rsidP="00BB60FD">
      <w:pPr>
        <w:jc w:val="center"/>
        <w:rPr>
          <w:rFonts w:ascii="Times" w:eastAsia="Times New Roman" w:hAnsi="Times" w:cs="Times New Roman"/>
          <w:sz w:val="22"/>
          <w:szCs w:val="22"/>
        </w:rPr>
      </w:pPr>
    </w:p>
    <w:p w14:paraId="11C09B9D" w14:textId="037F1AE3" w:rsidR="004D252E" w:rsidRDefault="004D252E" w:rsidP="00C63DFE">
      <w:pPr>
        <w:rPr>
          <w:rFonts w:ascii="Times" w:eastAsia="Times New Roman" w:hAnsi="Times" w:cs="Times New Roman"/>
          <w:sz w:val="22"/>
          <w:szCs w:val="22"/>
        </w:rPr>
      </w:pPr>
    </w:p>
    <w:p w14:paraId="3905831A" w14:textId="6CC859EE" w:rsidR="00C63DFE" w:rsidRPr="00C63DFE" w:rsidRDefault="00C63DFE" w:rsidP="00C63DFE">
      <w:pPr>
        <w:rPr>
          <w:rFonts w:ascii="Times" w:eastAsia="Times New Roman" w:hAnsi="Times" w:cs="Times New Roman"/>
          <w:sz w:val="22"/>
          <w:szCs w:val="22"/>
        </w:rPr>
      </w:pPr>
      <w:r w:rsidRPr="00C63DFE">
        <w:rPr>
          <w:rFonts w:ascii="Times" w:eastAsia="Times New Roman" w:hAnsi="Times" w:cs="Times New Roman"/>
          <w:sz w:val="22"/>
          <w:szCs w:val="22"/>
        </w:rPr>
        <w:t xml:space="preserve">By Mr. </w:t>
      </w:r>
      <w:r w:rsidRPr="004D252E">
        <w:rPr>
          <w:rFonts w:ascii="Times" w:eastAsia="Times New Roman" w:hAnsi="Times" w:cs="Times New Roman"/>
          <w:sz w:val="22"/>
          <w:szCs w:val="22"/>
        </w:rPr>
        <w:t>______</w:t>
      </w:r>
      <w:r w:rsidRPr="00C63DFE">
        <w:rPr>
          <w:rFonts w:ascii="Times" w:eastAsia="Times New Roman" w:hAnsi="Times" w:cs="Times New Roman"/>
          <w:sz w:val="22"/>
          <w:szCs w:val="22"/>
        </w:rPr>
        <w:t xml:space="preserve">, a petition (accompanied by bill, Senate, No. </w:t>
      </w:r>
      <w:r w:rsidRPr="004D252E">
        <w:rPr>
          <w:rFonts w:ascii="Times" w:eastAsia="Times New Roman" w:hAnsi="Times" w:cs="Times New Roman"/>
          <w:sz w:val="22"/>
          <w:szCs w:val="22"/>
        </w:rPr>
        <w:t>XXX</w:t>
      </w:r>
      <w:r w:rsidRPr="00C63DFE">
        <w:rPr>
          <w:rFonts w:ascii="Times" w:eastAsia="Times New Roman" w:hAnsi="Times" w:cs="Times New Roman"/>
          <w:sz w:val="22"/>
          <w:szCs w:val="22"/>
        </w:rPr>
        <w:t xml:space="preserve">) of </w:t>
      </w:r>
      <w:r w:rsidRPr="004D252E">
        <w:rPr>
          <w:rFonts w:ascii="Times" w:eastAsia="Times New Roman" w:hAnsi="Times" w:cs="Times New Roman"/>
          <w:sz w:val="22"/>
          <w:szCs w:val="22"/>
        </w:rPr>
        <w:t>_______</w:t>
      </w:r>
      <w:r w:rsidRPr="00C63DFE">
        <w:rPr>
          <w:rFonts w:ascii="Times" w:eastAsia="Times New Roman" w:hAnsi="Times" w:cs="Times New Roman"/>
          <w:sz w:val="22"/>
          <w:szCs w:val="22"/>
        </w:rPr>
        <w:t xml:space="preserve">, </w:t>
      </w:r>
      <w:r w:rsidRPr="004D252E">
        <w:rPr>
          <w:rFonts w:ascii="Times" w:eastAsia="Times New Roman" w:hAnsi="Times" w:cs="Times New Roman"/>
          <w:sz w:val="22"/>
          <w:szCs w:val="22"/>
        </w:rPr>
        <w:t>_______</w:t>
      </w:r>
      <w:r w:rsidRPr="00C63DFE">
        <w:rPr>
          <w:rFonts w:ascii="Times" w:eastAsia="Times New Roman" w:hAnsi="Times" w:cs="Times New Roman"/>
          <w:sz w:val="22"/>
          <w:szCs w:val="22"/>
        </w:rPr>
        <w:t xml:space="preserve">, </w:t>
      </w:r>
      <w:r w:rsidRPr="004D252E">
        <w:rPr>
          <w:rFonts w:ascii="Times" w:eastAsia="Times New Roman" w:hAnsi="Times" w:cs="Times New Roman"/>
          <w:sz w:val="22"/>
          <w:szCs w:val="22"/>
        </w:rPr>
        <w:t>_______</w:t>
      </w:r>
      <w:r w:rsidRPr="00C63DFE">
        <w:rPr>
          <w:rFonts w:ascii="Times" w:eastAsia="Times New Roman" w:hAnsi="Times" w:cs="Times New Roman"/>
          <w:sz w:val="22"/>
          <w:szCs w:val="22"/>
        </w:rPr>
        <w:t xml:space="preserve">, </w:t>
      </w:r>
      <w:r w:rsidRPr="004D252E">
        <w:rPr>
          <w:rFonts w:ascii="Times" w:eastAsia="Times New Roman" w:hAnsi="Times" w:cs="Times New Roman"/>
          <w:sz w:val="22"/>
          <w:szCs w:val="22"/>
        </w:rPr>
        <w:t>_______</w:t>
      </w:r>
      <w:r w:rsidRPr="00C63DFE">
        <w:rPr>
          <w:rFonts w:ascii="Times" w:eastAsia="Times New Roman" w:hAnsi="Times" w:cs="Times New Roman"/>
          <w:sz w:val="22"/>
          <w:szCs w:val="22"/>
        </w:rPr>
        <w:t xml:space="preserve"> and other members of the General Court for legislation relative to mental health parity. Financial Services</w:t>
      </w:r>
    </w:p>
    <w:p w14:paraId="2E446203" w14:textId="3B73BDDE" w:rsidR="00A84F7E" w:rsidRDefault="004D252E" w:rsidP="00BB60FD">
      <w:pPr>
        <w:jc w:val="center"/>
        <w:rPr>
          <w:rFonts w:ascii="Times" w:eastAsia="Times New Roman" w:hAnsi="Times" w:cs="Times New Roman"/>
          <w:b/>
          <w:sz w:val="22"/>
          <w:szCs w:val="22"/>
        </w:rPr>
      </w:pPr>
      <w:r>
        <w:rPr>
          <w:rFonts w:ascii="Times" w:eastAsia="Times New Roman" w:hAnsi="Times" w:cs="Times New Roman"/>
          <w:noProof/>
          <w:sz w:val="22"/>
          <w:szCs w:val="22"/>
        </w:rPr>
        <mc:AlternateContent>
          <mc:Choice Requires="wps">
            <w:drawing>
              <wp:anchor distT="0" distB="0" distL="114300" distR="114300" simplePos="0" relativeHeight="251665408" behindDoc="0" locked="0" layoutInCell="1" allowOverlap="1" wp14:anchorId="0A7EEB43" wp14:editId="6247B37B">
                <wp:simplePos x="0" y="0"/>
                <wp:positionH relativeFrom="column">
                  <wp:posOffset>0</wp:posOffset>
                </wp:positionH>
                <wp:positionV relativeFrom="paragraph">
                  <wp:posOffset>29210</wp:posOffset>
                </wp:positionV>
                <wp:extent cx="5257800" cy="0"/>
                <wp:effectExtent l="50800" t="50800" r="50800" b="101600"/>
                <wp:wrapNone/>
                <wp:docPr id="4" name="Straight Connector 4"/>
                <wp:cNvGraphicFramePr/>
                <a:graphic xmlns:a="http://schemas.openxmlformats.org/drawingml/2006/main">
                  <a:graphicData uri="http://schemas.microsoft.com/office/word/2010/wordprocessingShape">
                    <wps:wsp>
                      <wps:cNvCnPr/>
                      <wps:spPr>
                        <a:xfrm>
                          <a:off x="0" y="0"/>
                          <a:ext cx="5257800" cy="0"/>
                        </a:xfrm>
                        <a:prstGeom prst="line">
                          <a:avLst/>
                        </a:prstGeom>
                        <a:ln w="476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3pt" to="414pt,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TQjNkBAAANBAAADgAAAGRycy9lMm9Eb2MueG1srFPBbtswDL0P2D8Iui92jKYtjDg9pOguwxas&#10;6weoMhULkERB0uLk70fJiVNsAwoMu8gWyffE90StH47WsAOEqNF1fLmoOQMnsddu3/GXH0+f7jmL&#10;SbheGHTQ8RNE/rD5+GE9+hYaHND0EBiRuNiOvuNDSr6tqigHsCIu0IOjpMJgRaJt2Fd9ECOxW1M1&#10;dX1bjRh6H1BCjBR9nJJ8U/iVApm+KRUhMdNx6i2VNZT1Na/VZi3afRB+0PLchviHLqzQjg6dqR5F&#10;Euxn0H9QWS0DRlRpIdFWqJSWUDSQmmX9m5rnQXgoWsic6Geb4v+jlV8Pu8B03/EbzpywdEXPKQi9&#10;HxLbonNkIAZ2k30afWypfOt24byLfhey6KMKNn9JDjsWb0+zt3BMTFJw1azu7mu6AnnJVVegDzF9&#10;BrQs/3TcaJdli1YcvsREh1HppSSHjWMjNXx326xKWUSj+ydtTE6W0YGtCewg6NLTcZmbJ4Y3VbQz&#10;joJZ0iSi/KWTgYn/OygyhdpupgPyOF45hZTg0oXXOKrOMEUdzMD6feC5PkOhjOoMXr4PnhHlZHRp&#10;BlvtMPyN4GqFmuovDky6swWv2J/K9RZraOaKc+f3kYf67b7Ar6948wsAAP//AwBQSwMEFAAGAAgA&#10;AAAhAGic90baAAAABAEAAA8AAABkcnMvZG93bnJldi54bWxMj0FLw0AQhe9C/8MyBW92Y5GQptkU&#10;ESqCItr2oLdpdpqEZmdDdtvGf+/oRY8fb3jvm2I1uk6daQitZwO3swQUceVty7WB3XZ9k4EKEdli&#10;55kMfFGAVTm5KjC3/sLvdN7EWkkJhxwNNDH2udahashhmPmeWLKDHxxGwaHWdsCLlLtOz5Mk1Q5b&#10;loUGe3poqDpuTs7A69tu9M/JJz69tGnv1gdvHxcfxlxPx/slqEhj/DuGH31Rh1Kc9v7ENqjOgDwS&#10;DdyloCTM5pnw/pd1Wej/8uU3AAAA//8DAFBLAQItABQABgAIAAAAIQDkmcPA+wAAAOEBAAATAAAA&#10;AAAAAAAAAAAAAAAAAABbQ29udGVudF9UeXBlc10ueG1sUEsBAi0AFAAGAAgAAAAhACOyauHXAAAA&#10;lAEAAAsAAAAAAAAAAAAAAAAALAEAAF9yZWxzLy5yZWxzUEsBAi0AFAAGAAgAAAAhAMi00IzZAQAA&#10;DQQAAA4AAAAAAAAAAAAAAAAALAIAAGRycy9lMm9Eb2MueG1sUEsBAi0AFAAGAAgAAAAhAGic90ba&#10;AAAABAEAAA8AAAAAAAAAAAAAAAAAMQQAAGRycy9kb3ducmV2LnhtbFBLBQYAAAAABAAEAPMAAAA4&#10;BQAAAAA=&#10;" strokecolor="black [3213]" strokeweight="3.75pt">
                <v:shadow on="t" opacity="24903f" mv:blur="40000f" origin=",.5" offset="0,20000emu"/>
              </v:line>
            </w:pict>
          </mc:Fallback>
        </mc:AlternateContent>
      </w:r>
      <w:r>
        <w:rPr>
          <w:rFonts w:ascii="Times" w:eastAsia="Times New Roman" w:hAnsi="Times" w:cs="Times New Roman"/>
          <w:noProof/>
          <w:sz w:val="22"/>
          <w:szCs w:val="22"/>
        </w:rPr>
        <mc:AlternateContent>
          <mc:Choice Requires="wps">
            <w:drawing>
              <wp:anchor distT="0" distB="0" distL="114300" distR="114300" simplePos="0" relativeHeight="251663360" behindDoc="0" locked="0" layoutInCell="1" allowOverlap="1" wp14:anchorId="6581B206" wp14:editId="7AD33686">
                <wp:simplePos x="0" y="0"/>
                <wp:positionH relativeFrom="column">
                  <wp:posOffset>0</wp:posOffset>
                </wp:positionH>
                <wp:positionV relativeFrom="paragraph">
                  <wp:posOffset>-542290</wp:posOffset>
                </wp:positionV>
                <wp:extent cx="5257800" cy="0"/>
                <wp:effectExtent l="50800" t="50800" r="50800" b="101600"/>
                <wp:wrapNone/>
                <wp:docPr id="3" name="Straight Connector 3"/>
                <wp:cNvGraphicFramePr/>
                <a:graphic xmlns:a="http://schemas.openxmlformats.org/drawingml/2006/main">
                  <a:graphicData uri="http://schemas.microsoft.com/office/word/2010/wordprocessingShape">
                    <wps:wsp>
                      <wps:cNvCnPr/>
                      <wps:spPr>
                        <a:xfrm>
                          <a:off x="0" y="0"/>
                          <a:ext cx="5257800" cy="0"/>
                        </a:xfrm>
                        <a:prstGeom prst="line">
                          <a:avLst/>
                        </a:prstGeom>
                        <a:ln w="476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42.65pt" to="414pt,-4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ZWCtoBAAANBAAADgAAAGRycy9lMm9Eb2MueG1srFPBjtsgEL1X6j8g7o2dbLO7suLsIavtpWqj&#10;bvsBLIYYCRg00Nj5+w44cVZtpZWqXrCZmfeY9xg2D6Oz7KgwGvAtXy5qzpSX0Bl/aPmP708f7jmL&#10;SfhOWPCq5ScV+cP2/bvNEBq1gh5sp5ARiY/NEFrepxSaqoqyV07EBQTlKakBnUi0xUPVoRiI3dlq&#10;Vde31QDYBQSpYqTo45Tk28KvtZLpq9ZRJWZbTr2lsmJZX/JabTeiOaAIvZHnNsQ/dOGE8XToTPUo&#10;kmA/0fxB5YxEiKDTQoKrQGsjVdFAapb1b2qeexFU0ULmxDDbFP8frfxy3CMzXctvOPPC0RU9JxTm&#10;0Ce2A+/JQEB2k30aQmyofOf3eN7FsMcsetTo8pfksLF4e5q9VWNikoLr1fruvqYrkJdcdQUGjOmT&#10;AsfyT8ut8Vm2aMTxc0x0GJVeSnLYeja0/OPd7WpdyiJY0z0Za3OyjI7aWWRHQZeexmVunhheVdHO&#10;egpmSZOI8pdOVk3835QmU6jt1XRAHscrp5BS+XThtZ6qM0xTBzOwfht4rs9QVUZ1Bi/fBs+IcjL4&#10;NIOd8YB/I7haoaf6iwOT7mzBC3Sncr3FGpq54tz5feShfr0v8Osr3v4CAAD//wMAUEsDBBQABgAI&#10;AAAAIQANg8Q+3QAAAAgBAAAPAAAAZHJzL2Rvd25yZXYueG1sTI9PS8NAEMXvQr/DMoK3dmPFEtNs&#10;iggVQRH752Bv0+w0Cc3Ohuy2jd/eEQQ9znuPN7+XLwbXqjP1ofFs4HaSgCIuvW24MrDdLMcpqBCR&#10;LbaeycAXBVgUo6scM+svvKLzOlZKSjhkaKCOscu0DmVNDsPEd8TiHXzvMMrZV9r2eJFy1+ppksy0&#10;w4blQ40dPdVUHtcnZ+D9Yzv412SHL2/NrHPLg7fPD5/G3FwPj3NQkYb4F4YffEGHQpj2/sQ2qNaA&#10;DIkGxun9HSix02kqyv5X0UWu/w8ovgEAAP//AwBQSwECLQAUAAYACAAAACEA5JnDwPsAAADhAQAA&#10;EwAAAAAAAAAAAAAAAAAAAAAAW0NvbnRlbnRfVHlwZXNdLnhtbFBLAQItABQABgAIAAAAIQAjsmrh&#10;1wAAAJQBAAALAAAAAAAAAAAAAAAAACwBAABfcmVscy8ucmVsc1BLAQItABQABgAIAAAAIQAAVlYK&#10;2gEAAA0EAAAOAAAAAAAAAAAAAAAAACwCAABkcnMvZTJvRG9jLnhtbFBLAQItABQABgAIAAAAIQAN&#10;g8Q+3QAAAAgBAAAPAAAAAAAAAAAAAAAAADIEAABkcnMvZG93bnJldi54bWxQSwUGAAAAAAQABADz&#10;AAAAPAUAAAAA&#10;" strokecolor="black [3213]" strokeweight="3.75pt">
                <v:shadow on="t" opacity="24903f" mv:blur="40000f" origin=",.5" offset="0,20000emu"/>
              </v:line>
            </w:pict>
          </mc:Fallback>
        </mc:AlternateContent>
      </w:r>
    </w:p>
    <w:p w14:paraId="1070E85B" w14:textId="50969234" w:rsidR="00A84F7E" w:rsidRDefault="00A84F7E" w:rsidP="00BB60FD">
      <w:pPr>
        <w:jc w:val="center"/>
        <w:rPr>
          <w:rFonts w:ascii="Times" w:eastAsia="Times New Roman" w:hAnsi="Times" w:cs="Times New Roman"/>
          <w:b/>
          <w:sz w:val="22"/>
          <w:szCs w:val="22"/>
        </w:rPr>
      </w:pPr>
    </w:p>
    <w:p w14:paraId="5D6DD01D" w14:textId="77777777" w:rsidR="00BB60FD" w:rsidRPr="00595800" w:rsidRDefault="00BB60FD" w:rsidP="00BB60FD">
      <w:pPr>
        <w:jc w:val="center"/>
        <w:rPr>
          <w:rFonts w:ascii="Times" w:eastAsia="Times New Roman" w:hAnsi="Times" w:cs="Times New Roman"/>
          <w:b/>
          <w:sz w:val="22"/>
          <w:szCs w:val="22"/>
        </w:rPr>
      </w:pPr>
      <w:r w:rsidRPr="00595800">
        <w:rPr>
          <w:rFonts w:ascii="Times" w:eastAsia="Times New Roman" w:hAnsi="Times" w:cs="Times New Roman"/>
          <w:b/>
          <w:sz w:val="22"/>
          <w:szCs w:val="22"/>
        </w:rPr>
        <w:t>The Commonwealth of Massachusetts</w:t>
      </w:r>
    </w:p>
    <w:p w14:paraId="58D5C9A4" w14:textId="77777777" w:rsidR="00BB60FD" w:rsidRPr="006C4CFB" w:rsidRDefault="00BB60FD" w:rsidP="00BB60FD">
      <w:pPr>
        <w:jc w:val="center"/>
        <w:rPr>
          <w:rFonts w:ascii="Times" w:eastAsia="Times New Roman" w:hAnsi="Times" w:cs="Times New Roman"/>
          <w:b/>
          <w:sz w:val="22"/>
          <w:szCs w:val="22"/>
        </w:rPr>
      </w:pPr>
    </w:p>
    <w:p w14:paraId="5C57C599" w14:textId="39C36FAA" w:rsidR="00A84F7E" w:rsidRDefault="00A84F7E" w:rsidP="00BB60FD">
      <w:pPr>
        <w:jc w:val="center"/>
        <w:rPr>
          <w:rFonts w:ascii="Times" w:eastAsia="Times New Roman" w:hAnsi="Times" w:cs="Times New Roman"/>
          <w:b/>
          <w:sz w:val="22"/>
          <w:szCs w:val="22"/>
        </w:rPr>
      </w:pPr>
      <w:r>
        <w:rPr>
          <w:rFonts w:ascii="Times" w:eastAsia="Times New Roman" w:hAnsi="Times" w:cs="Times New Roman"/>
          <w:b/>
          <w:noProof/>
          <w:sz w:val="22"/>
          <w:szCs w:val="22"/>
        </w:rPr>
        <mc:AlternateContent>
          <mc:Choice Requires="wps">
            <w:drawing>
              <wp:anchor distT="0" distB="0" distL="114300" distR="114300" simplePos="0" relativeHeight="251659264" behindDoc="0" locked="0" layoutInCell="1" allowOverlap="1" wp14:anchorId="199FA21B" wp14:editId="11B0513B">
                <wp:simplePos x="0" y="0"/>
                <wp:positionH relativeFrom="column">
                  <wp:posOffset>2286000</wp:posOffset>
                </wp:positionH>
                <wp:positionV relativeFrom="paragraph">
                  <wp:posOffset>107950</wp:posOffset>
                </wp:positionV>
                <wp:extent cx="914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chemeClr val="tx1">
                              <a:lumMod val="95000"/>
                              <a:lumOff val="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pt,8.5pt" to="252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ZQKvcBAABFBAAADgAAAGRycy9lMm9Eb2MueG1srFPLbtwgFN1X6j8g9h3b0yRqrPFkMVG66WPU&#10;tB9AMIyRgIuAjD1/3wt4PElbdVF1g819nnPuZXM3GU2OwgcFtqPNqqZEWA69soeO/vj+8O4DJSEy&#10;2zMNVnT0JAK92759sxldK9YwgO6FJ1jEhnZ0HR1idG1VBT4Iw8IKnLDolOANi3j1h6r3bMTqRlfr&#10;ur6pRvC988BFCGi9L066zfWlFDx+lTKISHRHEVvMp8/nUzqr7Ya1B8/coPgMg/0DCsOUxaZLqXsW&#10;GXn26rdSRnEPAWRccTAVSKm4yByQTVP/wuZxYE5kLihOcItM4f+V5V+Oe09Uj7OjxDKDI3qMnqnD&#10;EMkOrEUBwZMm6TS60GL4zu79fAtu7xPpSXqTvkiHTFnb06KtmCLhaLxtrq5qnAA/u6pLnvMhfhRg&#10;SPrpqFY2sWYtO34KEXth6DkkmbUlY0dv3l/XOSqAVv2D0jr58uKInfbkyHDkcWpyjH42n6Evttvr&#10;GoHkwaMZ16OYz1ZsthTJrV/UR5+2aExSFPL5L560KMC+CYliIt11gZbW+IKGcS5szGLmShid0iRi&#10;XxJnTn9LnONTqsgrviQXsgv8Qux11yUjdwYbl2SjLPg/wU4ilinIEn9WoPBOEjxBf8prkaXBXc3K&#10;ze8qPYaX95x+ef3bnwAAAP//AwBQSwMEFAAGAAgAAAAhANyMXp/bAAAACQEAAA8AAABkcnMvZG93&#10;bnJldi54bWxMT8tOwzAQvCPxD9YicaM2AdIqxKkiJA49oZYKlNs2NkmEvY5itw1/zyIOcNrHjOZR&#10;rmfvxMlOcQik4XahQFhqgxmo07B/fb5ZgYgJyaALZDV82Qjr6vKixMKEM23taZc6wSIUC9TQpzQW&#10;Usa2tx7jIoyWGPsIk8fE59RJM+GZxb2TmVK59DgQO/Q42qfetp+7o9ew3czq7b1uXupNljVq3+Dk&#10;MNf6+mquH0EkO6c/MvzE5+hQcaZDOJKJwmm4yxV3SQwseTLhQd3zcvh9yKqU/xtU3wAAAP//AwBQ&#10;SwECLQAUAAYACAAAACEA5JnDwPsAAADhAQAAEwAAAAAAAAAAAAAAAAAAAAAAW0NvbnRlbnRfVHlw&#10;ZXNdLnhtbFBLAQItABQABgAIAAAAIQAjsmrh1wAAAJQBAAALAAAAAAAAAAAAAAAAACwBAABfcmVs&#10;cy8ucmVsc1BLAQItABQABgAIAAAAIQBnNlAq9wEAAEUEAAAOAAAAAAAAAAAAAAAAACwCAABkcnMv&#10;ZTJvRG9jLnhtbFBLAQItABQABgAIAAAAIQDcjF6f2wAAAAkBAAAPAAAAAAAAAAAAAAAAAE8EAABk&#10;cnMvZG93bnJldi54bWxQSwUGAAAAAAQABADzAAAAVwUAAAAA&#10;" strokecolor="#0d0d0d [3069]" strokeweight=".5pt">
                <v:shadow on="t" opacity="24903f" mv:blur="40000f" origin=",.5" offset="0,20000emu"/>
              </v:line>
            </w:pict>
          </mc:Fallback>
        </mc:AlternateContent>
      </w:r>
    </w:p>
    <w:p w14:paraId="5BEEC0D7" w14:textId="77777777" w:rsidR="008A7C1B" w:rsidRPr="006C4CFB" w:rsidRDefault="00BB60FD" w:rsidP="00BB60FD">
      <w:pPr>
        <w:jc w:val="center"/>
        <w:rPr>
          <w:rFonts w:ascii="Times" w:eastAsia="Times New Roman" w:hAnsi="Times" w:cs="Times New Roman"/>
          <w:b/>
          <w:sz w:val="22"/>
          <w:szCs w:val="22"/>
        </w:rPr>
      </w:pPr>
      <w:r w:rsidRPr="006C4CFB">
        <w:rPr>
          <w:rFonts w:ascii="Times" w:eastAsia="Times New Roman" w:hAnsi="Times" w:cs="Times New Roman"/>
          <w:b/>
          <w:sz w:val="22"/>
          <w:szCs w:val="22"/>
        </w:rPr>
        <w:t xml:space="preserve">In the One Hundred and Ninety-First General Court </w:t>
      </w:r>
    </w:p>
    <w:p w14:paraId="1CA58201" w14:textId="7168D2D7" w:rsidR="00BB60FD" w:rsidRPr="006C4CFB" w:rsidRDefault="00BB60FD" w:rsidP="00BB60FD">
      <w:pPr>
        <w:jc w:val="center"/>
        <w:rPr>
          <w:rFonts w:ascii="Times" w:eastAsia="Times New Roman" w:hAnsi="Times" w:cs="Times New Roman"/>
          <w:b/>
          <w:sz w:val="22"/>
          <w:szCs w:val="22"/>
        </w:rPr>
      </w:pPr>
      <w:r w:rsidRPr="006C4CFB">
        <w:rPr>
          <w:rFonts w:ascii="Times" w:eastAsia="Times New Roman" w:hAnsi="Times" w:cs="Times New Roman"/>
          <w:b/>
          <w:sz w:val="22"/>
          <w:szCs w:val="22"/>
        </w:rPr>
        <w:t>(2019-2020)</w:t>
      </w:r>
    </w:p>
    <w:p w14:paraId="147929A5" w14:textId="29333C49" w:rsidR="006239B2" w:rsidRPr="006C4CFB" w:rsidRDefault="00A84F7E" w:rsidP="00BB60FD">
      <w:pPr>
        <w:jc w:val="center"/>
        <w:rPr>
          <w:rFonts w:ascii="Times" w:eastAsia="Times New Roman" w:hAnsi="Times" w:cs="Times New Roman"/>
          <w:sz w:val="22"/>
          <w:szCs w:val="22"/>
        </w:rPr>
      </w:pPr>
      <w:r>
        <w:rPr>
          <w:rFonts w:ascii="Times" w:eastAsia="Times New Roman" w:hAnsi="Times" w:cs="Times New Roman"/>
          <w:b/>
          <w:noProof/>
          <w:sz w:val="22"/>
          <w:szCs w:val="22"/>
        </w:rPr>
        <mc:AlternateContent>
          <mc:Choice Requires="wps">
            <w:drawing>
              <wp:anchor distT="0" distB="0" distL="114300" distR="114300" simplePos="0" relativeHeight="251661312" behindDoc="0" locked="0" layoutInCell="1" allowOverlap="1" wp14:anchorId="2D9C96A9" wp14:editId="5AB94C48">
                <wp:simplePos x="0" y="0"/>
                <wp:positionH relativeFrom="column">
                  <wp:posOffset>2286000</wp:posOffset>
                </wp:positionH>
                <wp:positionV relativeFrom="paragraph">
                  <wp:posOffset>81280</wp:posOffset>
                </wp:positionV>
                <wp:extent cx="914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pt,6.4pt" to="252pt,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05MNsBAAAMBAAADgAAAGRycy9lMm9Eb2MueG1srFPbjtMwEH1H4h8sv9MkZVlB1HQfulpeEFTs&#10;8gGuM24s+aaxadq/Z+yk2RUgkBB5cHyZc2bO8Xhzd7aGnQCj9q7jzarmDJz0vXbHjn97enjznrOY&#10;hOuF8Q46foHI77avX23G0MLaD970gIxIXGzH0PEhpdBWVZQDWBFXPoCjQ+XRikRLPFY9ipHYranW&#10;dX1bjR77gF5CjLR7Px3ybeFXCmT6olSExEzHqbZURizjIY/VdiPaI4owaDmXIf6hCiu0o6QL1b1I&#10;gn1H/QuV1RJ99CqtpLeVV0pLKBpITVP/pOZxEAGKFjInhsWm+P9o5efTHpnuO77mzAlLV/SYUOjj&#10;kNjOO0cGemTr7NMYYkvhO7fHeRXDHrPos0Kb/ySHnYu3l8VbOCcmafNDc3NT0w3I61H1jAsY00fw&#10;luVJx412WbVoxelTTJSLQq8heds4Nnb89u27ukRFb3T/oI3JZxGPh51BdhL5wsuXayeGF2G0Mo42&#10;s6JJQ5mli4GJ/yso8oSqXk8ZcjfCQiukBJeamdc4is4wRSUswLm0PwHn+AyF0qkLuPl71gVRMnuX&#10;FrDVzuPvCNL5WrKa4q8OTLqzBQffX8rtFmuo5Ypz8/PIPf1yXeDPj3j7AwAA//8DAFBLAwQUAAYA&#10;CAAAACEAJXCUytwAAAAJAQAADwAAAGRycy9kb3ducmV2LnhtbEyPzU7DMBCE70h9B2srcaN2C1Qo&#10;xKkqJKRcEPRHcHXiJYmw11Hspunbs4gDHHdmNDtfvpm8EyMOsQukYblQIJDqYDtqNBwPzzcPIGIy&#10;ZI0LhBouGGFTzK5yk9lwph2O+9QILqGYGQ1tSn0mZaxb9CYuQo/E3mcYvEl8Do20gzlzuXdypdRa&#10;etMRf2hNj08t1l/7k9dQV06Vx2ksD+Xu8kJu9B9vr+9aX8+n7SOIhFP6C8PPfJ4OBW+qwolsFE7D&#10;7VoxS2JjxQgcuFd3LFS/gixy+Z+g+AYAAP//AwBQSwECLQAUAAYACAAAACEA5JnDwPsAAADhAQAA&#10;EwAAAAAAAAAAAAAAAAAAAAAAW0NvbnRlbnRfVHlwZXNdLnhtbFBLAQItABQABgAIAAAAIQAjsmrh&#10;1wAAAJQBAAALAAAAAAAAAAAAAAAAACwBAABfcmVscy8ucmVsc1BLAQItABQABgAIAAAAIQAzfTkw&#10;2wEAAAwEAAAOAAAAAAAAAAAAAAAAACwCAABkcnMvZTJvRG9jLnhtbFBLAQItABQABgAIAAAAIQAl&#10;cJTK3AAAAAkBAAAPAAAAAAAAAAAAAAAAADMEAABkcnMvZG93bnJldi54bWxQSwUGAAAAAAQABADz&#10;AAAAPAUAAAAA&#10;" strokeweight=".5pt">
                <v:shadow on="t" opacity="24903f" mv:blur="40000f" origin=",.5" offset="0,20000emu"/>
              </v:line>
            </w:pict>
          </mc:Fallback>
        </mc:AlternateContent>
      </w:r>
    </w:p>
    <w:p w14:paraId="073F6B26" w14:textId="77777777" w:rsidR="006239B2" w:rsidRPr="006C4CFB" w:rsidRDefault="006239B2" w:rsidP="00BB60FD">
      <w:pPr>
        <w:jc w:val="center"/>
        <w:rPr>
          <w:rFonts w:ascii="Times" w:eastAsia="Times New Roman" w:hAnsi="Times" w:cs="Times New Roman"/>
          <w:sz w:val="22"/>
          <w:szCs w:val="22"/>
        </w:rPr>
      </w:pPr>
    </w:p>
    <w:p w14:paraId="26FE39DE" w14:textId="77777777" w:rsidR="006239B2" w:rsidRPr="006C4CFB" w:rsidRDefault="006239B2" w:rsidP="006239B2">
      <w:pPr>
        <w:rPr>
          <w:rFonts w:ascii="Times" w:eastAsia="Times New Roman" w:hAnsi="Times" w:cs="Times New Roman"/>
          <w:sz w:val="22"/>
          <w:szCs w:val="22"/>
        </w:rPr>
      </w:pPr>
      <w:r w:rsidRPr="006C4CFB">
        <w:rPr>
          <w:rFonts w:ascii="Times" w:eastAsia="Times New Roman" w:hAnsi="Times" w:cs="Times New Roman"/>
          <w:sz w:val="22"/>
          <w:szCs w:val="22"/>
        </w:rPr>
        <w:t>An Act relative to parity implementation.</w:t>
      </w:r>
    </w:p>
    <w:p w14:paraId="6F3922FE" w14:textId="77777777" w:rsidR="00F91BCB" w:rsidRPr="006C4CFB" w:rsidRDefault="00F91BCB" w:rsidP="006239B2">
      <w:pPr>
        <w:rPr>
          <w:rFonts w:ascii="Times" w:eastAsia="Times New Roman" w:hAnsi="Times" w:cs="Times New Roman"/>
          <w:sz w:val="22"/>
          <w:szCs w:val="22"/>
        </w:rPr>
      </w:pPr>
    </w:p>
    <w:p w14:paraId="2C01CF0A" w14:textId="77777777" w:rsidR="00F91BCB" w:rsidRPr="00A84F7E" w:rsidRDefault="00F91BCB" w:rsidP="00F91BCB">
      <w:pPr>
        <w:rPr>
          <w:rFonts w:ascii="Times" w:eastAsia="Times New Roman" w:hAnsi="Times" w:cs="Times New Roman"/>
          <w:i/>
          <w:sz w:val="22"/>
          <w:szCs w:val="22"/>
        </w:rPr>
      </w:pPr>
      <w:r w:rsidRPr="00A84F7E">
        <w:rPr>
          <w:rFonts w:ascii="Times" w:eastAsia="Times New Roman" w:hAnsi="Times" w:cs="Times New Roman"/>
          <w:i/>
          <w:sz w:val="22"/>
          <w:szCs w:val="22"/>
        </w:rPr>
        <w:t>Be it enacted by the Senate and House of Representatives in General Court assembled, and by the authority of the same, as follows:</w:t>
      </w:r>
    </w:p>
    <w:p w14:paraId="42F8394C" w14:textId="699CFFDB" w:rsidR="00F947EE" w:rsidRDefault="00F947EE" w:rsidP="00B020D7">
      <w:pPr>
        <w:rPr>
          <w:rFonts w:ascii="Times" w:eastAsia="Times New Roman" w:hAnsi="Times" w:cs="Times New Roman"/>
          <w:sz w:val="22"/>
          <w:szCs w:val="22"/>
        </w:rPr>
      </w:pPr>
    </w:p>
    <w:p w14:paraId="116CBC81" w14:textId="587CA6A3" w:rsidR="003D2620" w:rsidRDefault="00B020D7" w:rsidP="001D41D8">
      <w:pPr>
        <w:ind w:firstLine="720"/>
        <w:rPr>
          <w:rFonts w:ascii="Times" w:eastAsia="Times New Roman" w:hAnsi="Times" w:cs="Times New Roman"/>
          <w:sz w:val="22"/>
          <w:szCs w:val="22"/>
        </w:rPr>
      </w:pPr>
      <w:r>
        <w:rPr>
          <w:rFonts w:ascii="Times" w:eastAsia="Times New Roman" w:hAnsi="Times" w:cs="Times New Roman"/>
          <w:sz w:val="22"/>
          <w:szCs w:val="22"/>
        </w:rPr>
        <w:t>SECTION 1</w:t>
      </w:r>
      <w:r w:rsidR="003D2620" w:rsidRPr="006C4CFB">
        <w:rPr>
          <w:rFonts w:ascii="Times" w:eastAsia="Times New Roman" w:hAnsi="Times" w:cs="Times New Roman"/>
          <w:sz w:val="22"/>
          <w:szCs w:val="22"/>
        </w:rPr>
        <w:t>. Chapter 26 of the General Laws</w:t>
      </w:r>
      <w:r w:rsidR="001D41D8" w:rsidRPr="001D41D8">
        <w:t xml:space="preserve"> </w:t>
      </w:r>
      <w:r w:rsidR="001D41D8" w:rsidRPr="001D41D8">
        <w:rPr>
          <w:rFonts w:ascii="Times" w:eastAsia="Times New Roman" w:hAnsi="Times" w:cs="Times New Roman"/>
          <w:sz w:val="22"/>
          <w:szCs w:val="22"/>
        </w:rPr>
        <w:t>is hereby amended by striking out section</w:t>
      </w:r>
      <w:r w:rsidR="001D41D8">
        <w:rPr>
          <w:rFonts w:ascii="Times" w:eastAsia="Times New Roman" w:hAnsi="Times" w:cs="Times New Roman"/>
          <w:sz w:val="22"/>
          <w:szCs w:val="22"/>
        </w:rPr>
        <w:t xml:space="preserve"> 8K</w:t>
      </w:r>
      <w:r w:rsidR="001D41D8" w:rsidRPr="001D41D8">
        <w:rPr>
          <w:rFonts w:ascii="Times" w:eastAsia="Times New Roman" w:hAnsi="Times" w:cs="Times New Roman"/>
          <w:sz w:val="22"/>
          <w:szCs w:val="22"/>
        </w:rPr>
        <w:t>, as so appearing, and inserting in place thereof the following section:-</w:t>
      </w:r>
    </w:p>
    <w:p w14:paraId="2791F88B" w14:textId="6D164822" w:rsidR="001D41D8" w:rsidRPr="00F947EE" w:rsidRDefault="001D41D8" w:rsidP="001D41D8">
      <w:pPr>
        <w:ind w:firstLine="720"/>
        <w:rPr>
          <w:rFonts w:ascii="Times" w:eastAsia="Times New Roman" w:hAnsi="Times" w:cs="Times New Roman"/>
          <w:sz w:val="22"/>
          <w:szCs w:val="22"/>
        </w:rPr>
      </w:pPr>
      <w:r>
        <w:rPr>
          <w:rFonts w:ascii="Times" w:eastAsia="Times New Roman" w:hAnsi="Times" w:cs="Times New Roman"/>
          <w:sz w:val="22"/>
          <w:szCs w:val="22"/>
        </w:rPr>
        <w:t xml:space="preserve">Section 8K. </w:t>
      </w:r>
      <w:r w:rsidRPr="001D41D8">
        <w:rPr>
          <w:rFonts w:ascii="Times" w:eastAsia="Times New Roman" w:hAnsi="Times" w:cs="Times New Roman"/>
          <w:sz w:val="22"/>
          <w:szCs w:val="22"/>
        </w:rPr>
        <w:t xml:space="preserve">The </w:t>
      </w:r>
      <w:r>
        <w:rPr>
          <w:rFonts w:ascii="Times" w:eastAsia="Times New Roman" w:hAnsi="Times" w:cs="Times New Roman"/>
          <w:sz w:val="22"/>
          <w:szCs w:val="22"/>
        </w:rPr>
        <w:t>commissioner of insurance</w:t>
      </w:r>
      <w:r w:rsidRPr="001D41D8">
        <w:rPr>
          <w:rFonts w:ascii="Times" w:eastAsia="Times New Roman" w:hAnsi="Times" w:cs="Times New Roman"/>
          <w:sz w:val="22"/>
          <w:szCs w:val="22"/>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and applicable state mental health parity laws, including section 22 of chapter 32A, section 47B of chapter 175, section 8A of chapter 176A, section 4A of chapter 176B and sections 4, 4B and 4M of chapter 176G of the General Laws, in regard to any carrier licensed under chapters 175, 176A, 176B and 176G, which includes:</w:t>
      </w:r>
    </w:p>
    <w:p w14:paraId="75771DD8" w14:textId="7C654B2F" w:rsidR="00E4438B" w:rsidRPr="00E4438B" w:rsidRDefault="00E4438B" w:rsidP="00E4438B">
      <w:pPr>
        <w:ind w:firstLine="720"/>
        <w:rPr>
          <w:rFonts w:ascii="Times" w:eastAsia="Times New Roman" w:hAnsi="Times" w:cs="Times New Roman"/>
          <w:sz w:val="22"/>
          <w:szCs w:val="22"/>
        </w:rPr>
      </w:pPr>
      <w:r>
        <w:rPr>
          <w:rFonts w:ascii="Times" w:eastAsia="Times New Roman" w:hAnsi="Times" w:cs="Times New Roman"/>
          <w:sz w:val="22"/>
          <w:szCs w:val="22"/>
        </w:rPr>
        <w:t xml:space="preserve">(a) </w:t>
      </w:r>
      <w:r w:rsidRPr="00E4438B">
        <w:rPr>
          <w:rFonts w:ascii="Times" w:eastAsia="Times New Roman" w:hAnsi="Times" w:cs="Times New Roman"/>
          <w:sz w:val="22"/>
          <w:szCs w:val="22"/>
        </w:rPr>
        <w:t xml:space="preserve">Proactively ensuring compliance by </w:t>
      </w:r>
      <w:r>
        <w:rPr>
          <w:rFonts w:ascii="Times" w:eastAsia="Times New Roman" w:hAnsi="Times" w:cs="Times New Roman"/>
          <w:sz w:val="22"/>
          <w:szCs w:val="22"/>
        </w:rPr>
        <w:t>carriers</w:t>
      </w:r>
      <w:r w:rsidRPr="00E4438B">
        <w:rPr>
          <w:rFonts w:ascii="Times" w:eastAsia="Times New Roman" w:hAnsi="Times" w:cs="Times New Roman"/>
          <w:sz w:val="22"/>
          <w:szCs w:val="22"/>
        </w:rPr>
        <w:t xml:space="preserve"> </w:t>
      </w:r>
      <w:r>
        <w:rPr>
          <w:rFonts w:ascii="Times" w:eastAsia="Times New Roman" w:hAnsi="Times" w:cs="Times New Roman"/>
          <w:sz w:val="22"/>
          <w:szCs w:val="22"/>
        </w:rPr>
        <w:t>licensed under chapters 175, 176A, 176B, and 176G</w:t>
      </w:r>
      <w:r w:rsidRPr="00E4438B">
        <w:rPr>
          <w:rFonts w:ascii="Times" w:eastAsia="Times New Roman" w:hAnsi="Times" w:cs="Times New Roman"/>
          <w:sz w:val="22"/>
          <w:szCs w:val="22"/>
        </w:rPr>
        <w:t>.</w:t>
      </w:r>
    </w:p>
    <w:p w14:paraId="75C0EA5E" w14:textId="4EC05BA9" w:rsidR="00E4438B" w:rsidRPr="00E4438B" w:rsidRDefault="00E4438B" w:rsidP="00E4438B">
      <w:pPr>
        <w:ind w:firstLine="720"/>
        <w:rPr>
          <w:rFonts w:ascii="Times" w:eastAsia="Times New Roman" w:hAnsi="Times" w:cs="Times New Roman"/>
          <w:sz w:val="22"/>
          <w:szCs w:val="22"/>
        </w:rPr>
      </w:pPr>
      <w:r>
        <w:rPr>
          <w:rFonts w:ascii="Times" w:eastAsia="Times New Roman" w:hAnsi="Times" w:cs="Times New Roman"/>
          <w:sz w:val="22"/>
          <w:szCs w:val="22"/>
        </w:rPr>
        <w:t xml:space="preserve">(b) </w:t>
      </w:r>
      <w:r w:rsidRPr="00E4438B">
        <w:rPr>
          <w:rFonts w:ascii="Times" w:eastAsia="Times New Roman" w:hAnsi="Times" w:cs="Times New Roman"/>
          <w:sz w:val="22"/>
          <w:szCs w:val="22"/>
        </w:rPr>
        <w:t xml:space="preserve">Evaluating all consumer or provider complaints regarding mental health and substance </w:t>
      </w:r>
      <w:r>
        <w:rPr>
          <w:rFonts w:ascii="Times" w:eastAsia="Times New Roman" w:hAnsi="Times" w:cs="Times New Roman"/>
          <w:sz w:val="22"/>
          <w:szCs w:val="22"/>
        </w:rPr>
        <w:t>abuse</w:t>
      </w:r>
      <w:r w:rsidRPr="00E4438B">
        <w:rPr>
          <w:rFonts w:ascii="Times" w:eastAsia="Times New Roman" w:hAnsi="Times" w:cs="Times New Roman"/>
          <w:sz w:val="22"/>
          <w:szCs w:val="22"/>
        </w:rPr>
        <w:t xml:space="preserve"> disorder coverage for possible parity violations.</w:t>
      </w:r>
    </w:p>
    <w:p w14:paraId="04EBFE94" w14:textId="73FE78B7" w:rsidR="00E4438B" w:rsidRPr="00E4438B" w:rsidRDefault="00E767AD" w:rsidP="00E4438B">
      <w:pPr>
        <w:ind w:firstLine="720"/>
        <w:rPr>
          <w:rFonts w:ascii="Times" w:eastAsia="Times New Roman" w:hAnsi="Times" w:cs="Times New Roman"/>
          <w:sz w:val="22"/>
          <w:szCs w:val="22"/>
        </w:rPr>
      </w:pPr>
      <w:r>
        <w:rPr>
          <w:rFonts w:ascii="Times" w:eastAsia="Times New Roman" w:hAnsi="Times" w:cs="Times New Roman"/>
          <w:sz w:val="22"/>
          <w:szCs w:val="22"/>
        </w:rPr>
        <w:t xml:space="preserve">(c) </w:t>
      </w:r>
      <w:r w:rsidR="00E4438B" w:rsidRPr="00E4438B">
        <w:rPr>
          <w:rFonts w:ascii="Times" w:eastAsia="Times New Roman" w:hAnsi="Times" w:cs="Times New Roman"/>
          <w:sz w:val="22"/>
          <w:szCs w:val="22"/>
        </w:rPr>
        <w:t xml:space="preserve">Performing parity compliance market conduct examinations of </w:t>
      </w:r>
      <w:r>
        <w:rPr>
          <w:rFonts w:ascii="Times" w:eastAsia="Times New Roman" w:hAnsi="Times" w:cs="Times New Roman"/>
          <w:sz w:val="22"/>
          <w:szCs w:val="22"/>
        </w:rPr>
        <w:t xml:space="preserve">carriers </w:t>
      </w:r>
      <w:r w:rsidRPr="006C4CFB">
        <w:rPr>
          <w:rFonts w:ascii="Times" w:eastAsia="Times New Roman" w:hAnsi="Times" w:cs="Times New Roman"/>
          <w:sz w:val="22"/>
          <w:szCs w:val="22"/>
        </w:rPr>
        <w:t>that provide mental health or substance abuse disorder benefits</w:t>
      </w:r>
      <w:r w:rsidR="00E4438B" w:rsidRPr="00E4438B">
        <w:rPr>
          <w:rFonts w:ascii="Times" w:eastAsia="Times New Roman" w:hAnsi="Times" w:cs="Times New Roman"/>
          <w:sz w:val="22"/>
          <w:szCs w:val="22"/>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6C9232EE" w14:textId="35395DAE" w:rsidR="00E4438B" w:rsidRPr="00E4438B" w:rsidRDefault="003E7C9F" w:rsidP="00E4438B">
      <w:pPr>
        <w:ind w:firstLine="720"/>
        <w:rPr>
          <w:rFonts w:ascii="Times" w:eastAsia="Times New Roman" w:hAnsi="Times" w:cs="Times New Roman"/>
          <w:sz w:val="22"/>
          <w:szCs w:val="22"/>
        </w:rPr>
      </w:pPr>
      <w:r>
        <w:rPr>
          <w:rFonts w:ascii="Times" w:eastAsia="Times New Roman" w:hAnsi="Times" w:cs="Times New Roman"/>
          <w:sz w:val="22"/>
          <w:szCs w:val="22"/>
        </w:rPr>
        <w:t xml:space="preserve">(d) </w:t>
      </w:r>
      <w:r w:rsidR="00E4438B" w:rsidRPr="00E4438B">
        <w:rPr>
          <w:rFonts w:ascii="Times" w:eastAsia="Times New Roman" w:hAnsi="Times" w:cs="Times New Roman"/>
          <w:sz w:val="22"/>
          <w:szCs w:val="22"/>
        </w:rPr>
        <w:t xml:space="preserve">Requesting that </w:t>
      </w:r>
      <w:r>
        <w:rPr>
          <w:rFonts w:ascii="Times" w:eastAsia="Times New Roman" w:hAnsi="Times" w:cs="Times New Roman"/>
          <w:sz w:val="22"/>
          <w:szCs w:val="22"/>
        </w:rPr>
        <w:t xml:space="preserve">carriers </w:t>
      </w:r>
      <w:r w:rsidRPr="006C4CFB">
        <w:rPr>
          <w:rFonts w:ascii="Times" w:eastAsia="Times New Roman" w:hAnsi="Times" w:cs="Times New Roman"/>
          <w:sz w:val="22"/>
          <w:szCs w:val="22"/>
        </w:rPr>
        <w:t>that provide mental health or substance abuse disorder benefits</w:t>
      </w:r>
      <w:r w:rsidRPr="00E4438B">
        <w:rPr>
          <w:rFonts w:ascii="Times" w:eastAsia="Times New Roman" w:hAnsi="Times" w:cs="Times New Roman"/>
          <w:sz w:val="22"/>
          <w:szCs w:val="22"/>
        </w:rPr>
        <w:t xml:space="preserve"> </w:t>
      </w:r>
      <w:r w:rsidR="00E4438B" w:rsidRPr="00E4438B">
        <w:rPr>
          <w:rFonts w:ascii="Times" w:eastAsia="Times New Roman" w:hAnsi="Times" w:cs="Times New Roman"/>
          <w:sz w:val="22"/>
          <w:szCs w:val="22"/>
        </w:rPr>
        <w:t xml:space="preserve">submit comparative analyses during the form review process demonstrating how they design and apply nonquantitative treatment limitations, both as written and in operation, for mental health and substance </w:t>
      </w:r>
      <w:r>
        <w:rPr>
          <w:rFonts w:ascii="Times" w:eastAsia="Times New Roman" w:hAnsi="Times" w:cs="Times New Roman"/>
          <w:sz w:val="22"/>
          <w:szCs w:val="22"/>
        </w:rPr>
        <w:t>abuse</w:t>
      </w:r>
      <w:r w:rsidR="00E4438B" w:rsidRPr="00E4438B">
        <w:rPr>
          <w:rFonts w:ascii="Times" w:eastAsia="Times New Roman" w:hAnsi="Times" w:cs="Times New Roman"/>
          <w:sz w:val="22"/>
          <w:szCs w:val="22"/>
        </w:rPr>
        <w:t xml:space="preserve"> disorder benefits as compared to how they design and apply nonquantitative treatment limitations, as written and in operation, for medical and surgical benefits.</w:t>
      </w:r>
    </w:p>
    <w:p w14:paraId="3FB8B305" w14:textId="306DCFBE" w:rsidR="00E4438B" w:rsidRDefault="003E7C9F" w:rsidP="00E4438B">
      <w:pPr>
        <w:ind w:firstLine="720"/>
        <w:rPr>
          <w:rFonts w:ascii="Times" w:eastAsia="Times New Roman" w:hAnsi="Times" w:cs="Times New Roman"/>
          <w:sz w:val="22"/>
          <w:szCs w:val="22"/>
        </w:rPr>
      </w:pPr>
      <w:r>
        <w:rPr>
          <w:rFonts w:ascii="Times" w:eastAsia="Times New Roman" w:hAnsi="Times" w:cs="Times New Roman"/>
          <w:sz w:val="22"/>
          <w:szCs w:val="22"/>
        </w:rPr>
        <w:t xml:space="preserve">(e) </w:t>
      </w:r>
      <w:r w:rsidR="00E4438B" w:rsidRPr="00E4438B">
        <w:rPr>
          <w:rFonts w:ascii="Times" w:eastAsia="Times New Roman" w:hAnsi="Times" w:cs="Times New Roman"/>
          <w:sz w:val="22"/>
          <w:szCs w:val="22"/>
        </w:rPr>
        <w:t xml:space="preserve">The Commissioner </w:t>
      </w:r>
      <w:r>
        <w:rPr>
          <w:rFonts w:ascii="Times" w:eastAsia="Times New Roman" w:hAnsi="Times" w:cs="Times New Roman"/>
          <w:sz w:val="22"/>
          <w:szCs w:val="22"/>
        </w:rPr>
        <w:t>may update 211 CMR 154.00</w:t>
      </w:r>
      <w:r w:rsidR="00E4438B" w:rsidRPr="00E4438B">
        <w:rPr>
          <w:rFonts w:ascii="Times" w:eastAsia="Times New Roman" w:hAnsi="Times" w:cs="Times New Roman"/>
          <w:sz w:val="22"/>
          <w:szCs w:val="22"/>
        </w:rPr>
        <w:t>, as may be necessary</w:t>
      </w:r>
      <w:r>
        <w:rPr>
          <w:rFonts w:ascii="Times" w:eastAsia="Times New Roman" w:hAnsi="Times" w:cs="Times New Roman"/>
          <w:sz w:val="22"/>
          <w:szCs w:val="22"/>
        </w:rPr>
        <w:t>,</w:t>
      </w:r>
      <w:r w:rsidR="00E4438B" w:rsidRPr="00E4438B">
        <w:rPr>
          <w:rFonts w:ascii="Times" w:eastAsia="Times New Roman" w:hAnsi="Times" w:cs="Times New Roman"/>
          <w:sz w:val="22"/>
          <w:szCs w:val="22"/>
        </w:rPr>
        <w:t xml:space="preserve"> to effectuate any provisions of the Paul Wellstone and Pete Domenici Mental Health Parity and Addiction Equity Act of 2008 that relate to the business of insurance.</w:t>
      </w:r>
    </w:p>
    <w:p w14:paraId="248801E7" w14:textId="34597CF6" w:rsidR="004D7BDD" w:rsidRDefault="004D7BDD" w:rsidP="00E4438B">
      <w:pPr>
        <w:ind w:firstLine="720"/>
        <w:rPr>
          <w:rFonts w:ascii="Times" w:eastAsia="Times New Roman" w:hAnsi="Times" w:cs="Times New Roman"/>
          <w:sz w:val="22"/>
          <w:szCs w:val="22"/>
        </w:rPr>
      </w:pPr>
      <w:r>
        <w:rPr>
          <w:rFonts w:ascii="Times" w:eastAsia="Times New Roman" w:hAnsi="Times" w:cs="Times New Roman"/>
          <w:sz w:val="22"/>
          <w:szCs w:val="22"/>
        </w:rPr>
        <w:t xml:space="preserve">(f) </w:t>
      </w:r>
      <w:r w:rsidRPr="004D7BDD">
        <w:rPr>
          <w:rFonts w:ascii="Times" w:eastAsia="Times New Roman" w:hAnsi="Times" w:cs="Times New Roman"/>
          <w:sz w:val="22"/>
          <w:szCs w:val="22"/>
        </w:rPr>
        <w:t xml:space="preserve">Not later than </w:t>
      </w:r>
      <w:r>
        <w:rPr>
          <w:rFonts w:ascii="Times" w:eastAsia="Times New Roman" w:hAnsi="Times" w:cs="Times New Roman"/>
          <w:sz w:val="22"/>
          <w:szCs w:val="22"/>
        </w:rPr>
        <w:t>June 1, 2020,</w:t>
      </w:r>
      <w:r w:rsidRPr="004D7BDD">
        <w:rPr>
          <w:rFonts w:ascii="Times" w:eastAsia="Times New Roman" w:hAnsi="Times" w:cs="Times New Roman"/>
          <w:sz w:val="22"/>
          <w:szCs w:val="22"/>
        </w:rPr>
        <w:t xml:space="preserve"> the </w:t>
      </w:r>
      <w:r>
        <w:rPr>
          <w:rFonts w:ascii="Times" w:eastAsia="Times New Roman" w:hAnsi="Times" w:cs="Times New Roman"/>
          <w:sz w:val="22"/>
          <w:szCs w:val="22"/>
        </w:rPr>
        <w:t>commissioner</w:t>
      </w:r>
      <w:r w:rsidRPr="004D7BDD">
        <w:rPr>
          <w:rFonts w:ascii="Times" w:eastAsia="Times New Roman" w:hAnsi="Times" w:cs="Times New Roman"/>
          <w:sz w:val="22"/>
          <w:szCs w:val="22"/>
        </w:rPr>
        <w:t xml:space="preserve"> shall issue a report</w:t>
      </w:r>
      <w:r w:rsidR="00195930">
        <w:rPr>
          <w:rFonts w:ascii="Times" w:eastAsia="Times New Roman" w:hAnsi="Times" w:cs="Times New Roman"/>
          <w:sz w:val="22"/>
          <w:szCs w:val="22"/>
        </w:rPr>
        <w:t xml:space="preserve"> and educational presentation</w:t>
      </w:r>
      <w:r w:rsidRPr="004D7BDD">
        <w:rPr>
          <w:rFonts w:ascii="Times" w:eastAsia="Times New Roman" w:hAnsi="Times" w:cs="Times New Roman"/>
          <w:sz w:val="22"/>
          <w:szCs w:val="22"/>
        </w:rPr>
        <w:t xml:space="preserve"> to </w:t>
      </w:r>
      <w:r w:rsidR="00195930">
        <w:rPr>
          <w:rFonts w:ascii="Times" w:eastAsia="Times New Roman" w:hAnsi="Times" w:cs="Times New Roman"/>
          <w:sz w:val="22"/>
          <w:szCs w:val="22"/>
        </w:rPr>
        <w:t>the General Court; s</w:t>
      </w:r>
      <w:r w:rsidRPr="004D7BDD">
        <w:rPr>
          <w:rFonts w:ascii="Times" w:eastAsia="Times New Roman" w:hAnsi="Times" w:cs="Times New Roman"/>
          <w:sz w:val="22"/>
          <w:szCs w:val="22"/>
        </w:rPr>
        <w:t>uch report and presentation shall:</w:t>
      </w:r>
    </w:p>
    <w:p w14:paraId="75C0044B" w14:textId="321688B7" w:rsidR="007972BE" w:rsidRPr="007972BE" w:rsidRDefault="007972BE" w:rsidP="007972BE">
      <w:pPr>
        <w:ind w:firstLine="720"/>
        <w:rPr>
          <w:rFonts w:ascii="Times" w:eastAsia="Times New Roman" w:hAnsi="Times" w:cs="Times New Roman"/>
          <w:sz w:val="22"/>
          <w:szCs w:val="22"/>
        </w:rPr>
      </w:pPr>
      <w:r>
        <w:rPr>
          <w:rFonts w:ascii="Times" w:eastAsia="Times New Roman" w:hAnsi="Times" w:cs="Times New Roman"/>
          <w:sz w:val="22"/>
          <w:szCs w:val="22"/>
        </w:rPr>
        <w:lastRenderedPageBreak/>
        <w:tab/>
        <w:t xml:space="preserve">(1) </w:t>
      </w:r>
      <w:r w:rsidRPr="007972BE">
        <w:rPr>
          <w:rFonts w:ascii="Times" w:eastAsia="Times New Roman" w:hAnsi="Times" w:cs="Times New Roman"/>
          <w:sz w:val="22"/>
          <w:szCs w:val="22"/>
        </w:rPr>
        <w:t xml:space="preserve">Cover the methodology the </w:t>
      </w:r>
      <w:r w:rsidR="009236DA">
        <w:rPr>
          <w:rFonts w:ascii="Times" w:eastAsia="Times New Roman" w:hAnsi="Times" w:cs="Times New Roman"/>
          <w:sz w:val="22"/>
          <w:szCs w:val="22"/>
        </w:rPr>
        <w:t>commissioner</w:t>
      </w:r>
      <w:r w:rsidRPr="007972BE">
        <w:rPr>
          <w:rFonts w:ascii="Times" w:eastAsia="Times New Roman" w:hAnsi="Times" w:cs="Times New Roman"/>
          <w:sz w:val="22"/>
          <w:szCs w:val="22"/>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6271A635" w14:textId="73834059" w:rsidR="007972BE" w:rsidRPr="007972BE" w:rsidRDefault="007972BE" w:rsidP="007972BE">
      <w:pPr>
        <w:ind w:firstLine="720"/>
        <w:rPr>
          <w:rFonts w:ascii="Times" w:eastAsia="Times New Roman" w:hAnsi="Times" w:cs="Times New Roman"/>
          <w:sz w:val="22"/>
          <w:szCs w:val="22"/>
        </w:rPr>
      </w:pPr>
      <w:r>
        <w:rPr>
          <w:rFonts w:ascii="Times" w:eastAsia="Times New Roman" w:hAnsi="Times" w:cs="Times New Roman"/>
          <w:sz w:val="22"/>
          <w:szCs w:val="22"/>
        </w:rPr>
        <w:tab/>
        <w:t xml:space="preserve">(2) </w:t>
      </w:r>
      <w:r w:rsidRPr="007972BE">
        <w:rPr>
          <w:rFonts w:ascii="Times" w:eastAsia="Times New Roman" w:hAnsi="Times" w:cs="Times New Roman"/>
          <w:sz w:val="22"/>
          <w:szCs w:val="22"/>
        </w:rPr>
        <w:t xml:space="preserve">Cover the methodology the </w:t>
      </w:r>
      <w:r w:rsidR="009236DA">
        <w:rPr>
          <w:rFonts w:ascii="Times" w:eastAsia="Times New Roman" w:hAnsi="Times" w:cs="Times New Roman"/>
          <w:sz w:val="22"/>
          <w:szCs w:val="22"/>
        </w:rPr>
        <w:t>commissioner</w:t>
      </w:r>
      <w:r w:rsidRPr="007972BE">
        <w:rPr>
          <w:rFonts w:ascii="Times" w:eastAsia="Times New Roman" w:hAnsi="Times" w:cs="Times New Roman"/>
          <w:sz w:val="22"/>
          <w:szCs w:val="22"/>
        </w:rPr>
        <w:t xml:space="preserve"> is using to check for compliance with </w:t>
      </w:r>
      <w:r w:rsidR="009236DA" w:rsidRPr="001D41D8">
        <w:rPr>
          <w:rFonts w:ascii="Times" w:eastAsia="Times New Roman" w:hAnsi="Times" w:cs="Times New Roman"/>
          <w:sz w:val="22"/>
          <w:szCs w:val="22"/>
        </w:rPr>
        <w:t>section 22 of chapter 32A, section 47B of chapter 175, section 8A of chapter 176A, section 4A of chapter 176B and sections 4, 4B and 4M of chapter 176G of the General Laws</w:t>
      </w:r>
      <w:r w:rsidRPr="007972BE">
        <w:rPr>
          <w:rFonts w:ascii="Times" w:eastAsia="Times New Roman" w:hAnsi="Times" w:cs="Times New Roman"/>
          <w:sz w:val="22"/>
          <w:szCs w:val="22"/>
        </w:rPr>
        <w:t>.</w:t>
      </w:r>
    </w:p>
    <w:p w14:paraId="3D022DEC" w14:textId="0C1B020B" w:rsidR="007972BE" w:rsidRPr="007972BE" w:rsidRDefault="007972BE" w:rsidP="007972BE">
      <w:pPr>
        <w:ind w:firstLine="720"/>
        <w:rPr>
          <w:rFonts w:ascii="Times" w:eastAsia="Times New Roman" w:hAnsi="Times" w:cs="Times New Roman"/>
          <w:sz w:val="22"/>
          <w:szCs w:val="22"/>
        </w:rPr>
      </w:pPr>
      <w:r>
        <w:rPr>
          <w:rFonts w:ascii="Times" w:eastAsia="Times New Roman" w:hAnsi="Times" w:cs="Times New Roman"/>
          <w:sz w:val="22"/>
          <w:szCs w:val="22"/>
        </w:rPr>
        <w:tab/>
        <w:t xml:space="preserve">(3) </w:t>
      </w:r>
      <w:r w:rsidRPr="007972BE">
        <w:rPr>
          <w:rFonts w:ascii="Times" w:eastAsia="Times New Roman" w:hAnsi="Times" w:cs="Times New Roman"/>
          <w:sz w:val="22"/>
          <w:szCs w:val="22"/>
        </w:rPr>
        <w:t xml:space="preserve">Identify market conduct examinations conducted or completed during the preceding 12-month period regarding compliance with parity in mental health and substance </w:t>
      </w:r>
      <w:r w:rsidR="00F07AD4">
        <w:rPr>
          <w:rFonts w:ascii="Times" w:eastAsia="Times New Roman" w:hAnsi="Times" w:cs="Times New Roman"/>
          <w:sz w:val="22"/>
          <w:szCs w:val="22"/>
        </w:rPr>
        <w:t>abuse</w:t>
      </w:r>
      <w:r w:rsidRPr="007972BE">
        <w:rPr>
          <w:rFonts w:ascii="Times" w:eastAsia="Times New Roman" w:hAnsi="Times" w:cs="Times New Roman"/>
          <w:sz w:val="22"/>
          <w:szCs w:val="22"/>
        </w:rPr>
        <w:t xml:space="preserve"> disorder benefits under state and federal laws and summarize the results of such market conduct examinations. </w:t>
      </w:r>
    </w:p>
    <w:p w14:paraId="17A89B71" w14:textId="61324AD9" w:rsidR="007972BE" w:rsidRPr="007972BE" w:rsidRDefault="007972BE" w:rsidP="007972BE">
      <w:pPr>
        <w:ind w:firstLine="720"/>
        <w:rPr>
          <w:rFonts w:ascii="Times" w:eastAsia="Times New Roman" w:hAnsi="Times" w:cs="Times New Roman"/>
          <w:sz w:val="22"/>
          <w:szCs w:val="22"/>
        </w:rPr>
      </w:pPr>
      <w:r>
        <w:rPr>
          <w:rFonts w:ascii="Times" w:eastAsia="Times New Roman" w:hAnsi="Times" w:cs="Times New Roman"/>
          <w:sz w:val="22"/>
          <w:szCs w:val="22"/>
        </w:rPr>
        <w:tab/>
        <w:t xml:space="preserve">(4) </w:t>
      </w:r>
      <w:r w:rsidRPr="007972BE">
        <w:rPr>
          <w:rFonts w:ascii="Times" w:eastAsia="Times New Roman" w:hAnsi="Times" w:cs="Times New Roman"/>
          <w:sz w:val="22"/>
          <w:szCs w:val="22"/>
        </w:rPr>
        <w:t xml:space="preserve">Detail any educational or corrective actions the regulatory agency has taken to ensure </w:t>
      </w:r>
      <w:r w:rsidR="00092978">
        <w:rPr>
          <w:rFonts w:ascii="Times" w:eastAsia="Times New Roman" w:hAnsi="Times" w:cs="Times New Roman"/>
          <w:sz w:val="22"/>
          <w:szCs w:val="22"/>
        </w:rPr>
        <w:t>carrier</w:t>
      </w:r>
      <w:bookmarkStart w:id="0" w:name="_GoBack"/>
      <w:bookmarkEnd w:id="0"/>
      <w:r w:rsidRPr="007972BE">
        <w:rPr>
          <w:rFonts w:ascii="Times" w:eastAsia="Times New Roman" w:hAnsi="Times" w:cs="Times New Roman"/>
          <w:sz w:val="22"/>
          <w:szCs w:val="22"/>
        </w:rPr>
        <w:t xml:space="preserve"> compliance with MHPAEA and </w:t>
      </w:r>
      <w:r w:rsidR="005A1F61" w:rsidRPr="001D41D8">
        <w:rPr>
          <w:rFonts w:ascii="Times" w:eastAsia="Times New Roman" w:hAnsi="Times" w:cs="Times New Roman"/>
          <w:sz w:val="22"/>
          <w:szCs w:val="22"/>
        </w:rPr>
        <w:t>section 22 of chapter 32A, section 47B of chapter 175, section 8A of chapter 176A, section 4A of chapter 176B and sections 4, 4B and 4M of chapter 176G of the General Laws</w:t>
      </w:r>
      <w:r w:rsidRPr="007972BE">
        <w:rPr>
          <w:rFonts w:ascii="Times" w:eastAsia="Times New Roman" w:hAnsi="Times" w:cs="Times New Roman"/>
          <w:sz w:val="22"/>
          <w:szCs w:val="22"/>
        </w:rPr>
        <w:t>.</w:t>
      </w:r>
    </w:p>
    <w:p w14:paraId="3A5FF653" w14:textId="35694297" w:rsidR="007972BE" w:rsidRDefault="007972BE" w:rsidP="007972BE">
      <w:pPr>
        <w:ind w:firstLine="720"/>
        <w:rPr>
          <w:rFonts w:ascii="Times" w:eastAsia="Times New Roman" w:hAnsi="Times" w:cs="Times New Roman"/>
          <w:sz w:val="22"/>
          <w:szCs w:val="22"/>
        </w:rPr>
      </w:pPr>
      <w:r>
        <w:rPr>
          <w:rFonts w:ascii="Times" w:eastAsia="Times New Roman" w:hAnsi="Times" w:cs="Times New Roman"/>
          <w:sz w:val="22"/>
          <w:szCs w:val="22"/>
        </w:rPr>
        <w:tab/>
        <w:t xml:space="preserve">(5) </w:t>
      </w:r>
      <w:r w:rsidRPr="007972BE">
        <w:rPr>
          <w:rFonts w:ascii="Times" w:eastAsia="Times New Roman" w:hAnsi="Times" w:cs="Times New Roman"/>
          <w:sz w:val="22"/>
          <w:szCs w:val="22"/>
        </w:rPr>
        <w:t xml:space="preserve">The report must be written in non-technical, readily understandable language and shall be made available to the public by, among such other means as the </w:t>
      </w:r>
      <w:r w:rsidR="00271F2A">
        <w:rPr>
          <w:rFonts w:ascii="Times" w:eastAsia="Times New Roman" w:hAnsi="Times" w:cs="Times New Roman"/>
          <w:sz w:val="22"/>
          <w:szCs w:val="22"/>
        </w:rPr>
        <w:t>commissioner</w:t>
      </w:r>
      <w:r w:rsidRPr="007972BE">
        <w:rPr>
          <w:rFonts w:ascii="Times" w:eastAsia="Times New Roman" w:hAnsi="Times" w:cs="Times New Roman"/>
          <w:sz w:val="22"/>
          <w:szCs w:val="22"/>
        </w:rPr>
        <w:t xml:space="preserve"> finds appropriate, posting the report on the </w:t>
      </w:r>
      <w:r w:rsidR="00271F2A">
        <w:rPr>
          <w:rFonts w:ascii="Times" w:eastAsia="Times New Roman" w:hAnsi="Times" w:cs="Times New Roman"/>
          <w:sz w:val="22"/>
          <w:szCs w:val="22"/>
        </w:rPr>
        <w:t>Internet website of the Division of Insurance.</w:t>
      </w:r>
    </w:p>
    <w:p w14:paraId="255DD29B" w14:textId="77777777" w:rsidR="00202113" w:rsidRDefault="00202113"/>
    <w:sectPr w:rsidR="00202113"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F4940" w14:textId="77777777" w:rsidR="00A84F7E" w:rsidRDefault="00A84F7E" w:rsidP="00BB60FD">
      <w:r>
        <w:separator/>
      </w:r>
    </w:p>
  </w:endnote>
  <w:endnote w:type="continuationSeparator" w:id="0">
    <w:p w14:paraId="3832A207" w14:textId="77777777" w:rsidR="00A84F7E" w:rsidRDefault="00A84F7E" w:rsidP="00BB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544D4" w14:textId="77777777" w:rsidR="00A84F7E" w:rsidRDefault="00A84F7E" w:rsidP="00BB60FD">
      <w:r>
        <w:separator/>
      </w:r>
    </w:p>
  </w:footnote>
  <w:footnote w:type="continuationSeparator" w:id="0">
    <w:p w14:paraId="15C22FF7" w14:textId="77777777" w:rsidR="00A84F7E" w:rsidRDefault="00A84F7E" w:rsidP="00BB60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6020C" w14:textId="65244A8C" w:rsidR="00A84F7E" w:rsidRDefault="00A84F7E">
    <w:pPr>
      <w:pStyle w:val="Header"/>
    </w:pPr>
    <w:r>
      <w:t>SENATE</w:t>
    </w:r>
    <w:r>
      <w:tab/>
    </w:r>
    <w:r w:rsidR="004E7602">
      <w:t xml:space="preserve">  </w:t>
    </w:r>
    <w:r w:rsidR="004E7602" w:rsidRPr="004E7602">
      <w:rPr>
        <w:sz w:val="72"/>
        <w:szCs w:val="72"/>
      </w:rPr>
      <w:t>. . . . . . . . . . . . . . . .</w:t>
    </w:r>
    <w:r w:rsidR="004E7602">
      <w:rPr>
        <w:sz w:val="72"/>
        <w:szCs w:val="72"/>
      </w:rPr>
      <w:t xml:space="preserve"> . . . . . . . . . </w:t>
    </w:r>
    <w:r>
      <w:tab/>
    </w:r>
    <w:r>
      <w:tab/>
      <w:t>No. 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FD"/>
    <w:rsid w:val="00065229"/>
    <w:rsid w:val="00092978"/>
    <w:rsid w:val="00195930"/>
    <w:rsid w:val="001D41D8"/>
    <w:rsid w:val="00202113"/>
    <w:rsid w:val="00217D7E"/>
    <w:rsid w:val="00271F2A"/>
    <w:rsid w:val="002825F9"/>
    <w:rsid w:val="00310E90"/>
    <w:rsid w:val="003419A3"/>
    <w:rsid w:val="003D2620"/>
    <w:rsid w:val="003E7C9F"/>
    <w:rsid w:val="003F3C51"/>
    <w:rsid w:val="004B6F70"/>
    <w:rsid w:val="004D252E"/>
    <w:rsid w:val="004D7BDD"/>
    <w:rsid w:val="004E7602"/>
    <w:rsid w:val="00565B3B"/>
    <w:rsid w:val="00595800"/>
    <w:rsid w:val="005A1F61"/>
    <w:rsid w:val="006239B2"/>
    <w:rsid w:val="006C4CFB"/>
    <w:rsid w:val="007972BE"/>
    <w:rsid w:val="007D50AF"/>
    <w:rsid w:val="00832258"/>
    <w:rsid w:val="00844BDF"/>
    <w:rsid w:val="008464DF"/>
    <w:rsid w:val="008A7C1B"/>
    <w:rsid w:val="008C720E"/>
    <w:rsid w:val="009236DA"/>
    <w:rsid w:val="00A179B1"/>
    <w:rsid w:val="00A74922"/>
    <w:rsid w:val="00A84F7E"/>
    <w:rsid w:val="00AE2050"/>
    <w:rsid w:val="00B020D7"/>
    <w:rsid w:val="00B3182B"/>
    <w:rsid w:val="00B41AF0"/>
    <w:rsid w:val="00BA0E13"/>
    <w:rsid w:val="00BB60FD"/>
    <w:rsid w:val="00C23962"/>
    <w:rsid w:val="00C63DFE"/>
    <w:rsid w:val="00C81460"/>
    <w:rsid w:val="00CF0011"/>
    <w:rsid w:val="00D16AF0"/>
    <w:rsid w:val="00D57308"/>
    <w:rsid w:val="00D96E59"/>
    <w:rsid w:val="00E4438B"/>
    <w:rsid w:val="00E767AD"/>
    <w:rsid w:val="00EB7A44"/>
    <w:rsid w:val="00ED7AE7"/>
    <w:rsid w:val="00F05F83"/>
    <w:rsid w:val="00F07AD4"/>
    <w:rsid w:val="00F91BCB"/>
    <w:rsid w:val="00F94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3276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0FD"/>
    <w:pPr>
      <w:tabs>
        <w:tab w:val="center" w:pos="4320"/>
        <w:tab w:val="right" w:pos="8640"/>
      </w:tabs>
    </w:pPr>
  </w:style>
  <w:style w:type="character" w:customStyle="1" w:styleId="HeaderChar">
    <w:name w:val="Header Char"/>
    <w:basedOn w:val="DefaultParagraphFont"/>
    <w:link w:val="Header"/>
    <w:uiPriority w:val="99"/>
    <w:rsid w:val="00BB60FD"/>
  </w:style>
  <w:style w:type="paragraph" w:styleId="Footer">
    <w:name w:val="footer"/>
    <w:basedOn w:val="Normal"/>
    <w:link w:val="FooterChar"/>
    <w:uiPriority w:val="99"/>
    <w:unhideWhenUsed/>
    <w:rsid w:val="00BB60FD"/>
    <w:pPr>
      <w:tabs>
        <w:tab w:val="center" w:pos="4320"/>
        <w:tab w:val="right" w:pos="8640"/>
      </w:tabs>
    </w:pPr>
  </w:style>
  <w:style w:type="character" w:customStyle="1" w:styleId="FooterChar">
    <w:name w:val="Footer Char"/>
    <w:basedOn w:val="DefaultParagraphFont"/>
    <w:link w:val="Footer"/>
    <w:uiPriority w:val="99"/>
    <w:rsid w:val="00BB60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0FD"/>
    <w:pPr>
      <w:tabs>
        <w:tab w:val="center" w:pos="4320"/>
        <w:tab w:val="right" w:pos="8640"/>
      </w:tabs>
    </w:pPr>
  </w:style>
  <w:style w:type="character" w:customStyle="1" w:styleId="HeaderChar">
    <w:name w:val="Header Char"/>
    <w:basedOn w:val="DefaultParagraphFont"/>
    <w:link w:val="Header"/>
    <w:uiPriority w:val="99"/>
    <w:rsid w:val="00BB60FD"/>
  </w:style>
  <w:style w:type="paragraph" w:styleId="Footer">
    <w:name w:val="footer"/>
    <w:basedOn w:val="Normal"/>
    <w:link w:val="FooterChar"/>
    <w:uiPriority w:val="99"/>
    <w:unhideWhenUsed/>
    <w:rsid w:val="00BB60FD"/>
    <w:pPr>
      <w:tabs>
        <w:tab w:val="center" w:pos="4320"/>
        <w:tab w:val="right" w:pos="8640"/>
      </w:tabs>
    </w:pPr>
  </w:style>
  <w:style w:type="character" w:customStyle="1" w:styleId="FooterChar">
    <w:name w:val="Footer Char"/>
    <w:basedOn w:val="DefaultParagraphFont"/>
    <w:link w:val="Footer"/>
    <w:uiPriority w:val="99"/>
    <w:rsid w:val="00BB6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744">
      <w:bodyDiv w:val="1"/>
      <w:marLeft w:val="0"/>
      <w:marRight w:val="0"/>
      <w:marTop w:val="0"/>
      <w:marBottom w:val="0"/>
      <w:divBdr>
        <w:top w:val="none" w:sz="0" w:space="0" w:color="auto"/>
        <w:left w:val="none" w:sz="0" w:space="0" w:color="auto"/>
        <w:bottom w:val="none" w:sz="0" w:space="0" w:color="auto"/>
        <w:right w:val="none" w:sz="0" w:space="0" w:color="auto"/>
      </w:divBdr>
    </w:div>
    <w:div w:id="407001482">
      <w:bodyDiv w:val="1"/>
      <w:marLeft w:val="0"/>
      <w:marRight w:val="0"/>
      <w:marTop w:val="0"/>
      <w:marBottom w:val="0"/>
      <w:divBdr>
        <w:top w:val="none" w:sz="0" w:space="0" w:color="auto"/>
        <w:left w:val="none" w:sz="0" w:space="0" w:color="auto"/>
        <w:bottom w:val="none" w:sz="0" w:space="0" w:color="auto"/>
        <w:right w:val="none" w:sz="0" w:space="0" w:color="auto"/>
      </w:divBdr>
    </w:div>
    <w:div w:id="782725795">
      <w:bodyDiv w:val="1"/>
      <w:marLeft w:val="0"/>
      <w:marRight w:val="0"/>
      <w:marTop w:val="0"/>
      <w:marBottom w:val="0"/>
      <w:divBdr>
        <w:top w:val="none" w:sz="0" w:space="0" w:color="auto"/>
        <w:left w:val="none" w:sz="0" w:space="0" w:color="auto"/>
        <w:bottom w:val="none" w:sz="0" w:space="0" w:color="auto"/>
        <w:right w:val="none" w:sz="0" w:space="0" w:color="auto"/>
      </w:divBdr>
    </w:div>
    <w:div w:id="1327511620">
      <w:bodyDiv w:val="1"/>
      <w:marLeft w:val="0"/>
      <w:marRight w:val="0"/>
      <w:marTop w:val="0"/>
      <w:marBottom w:val="0"/>
      <w:divBdr>
        <w:top w:val="none" w:sz="0" w:space="0" w:color="auto"/>
        <w:left w:val="none" w:sz="0" w:space="0" w:color="auto"/>
        <w:bottom w:val="none" w:sz="0" w:space="0" w:color="auto"/>
        <w:right w:val="none" w:sz="0" w:space="0" w:color="auto"/>
      </w:divBdr>
    </w:div>
    <w:div w:id="1616448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CC6BDD-9367-6443-A7BE-1CD6375C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3621</Characters>
  <Application>Microsoft Macintosh Word</Application>
  <DocSecurity>0</DocSecurity>
  <Lines>78</Lines>
  <Paragraphs>28</Paragraphs>
  <ScaleCrop>false</ScaleCrop>
  <Company>Scattergood Foundation</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2018-08-14T18:07:00Z</dcterms:created>
  <dcterms:modified xsi:type="dcterms:W3CDTF">2018-09-03T16:51:00Z</dcterms:modified>
</cp:coreProperties>
</file>