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A9F04" w14:textId="77777777" w:rsidR="008C41E6" w:rsidRPr="00DF0098" w:rsidRDefault="008C41E6" w:rsidP="008C41E6">
      <w:pPr>
        <w:jc w:val="center"/>
        <w:rPr>
          <w:rFonts w:ascii="Courier New" w:hAnsi="Courier New" w:cs="Courier New"/>
        </w:rPr>
      </w:pPr>
      <w:r w:rsidRPr="00DF0098">
        <w:rPr>
          <w:rFonts w:ascii="Courier New" w:hAnsi="Courier New" w:cs="Courier New"/>
        </w:rPr>
        <w:t>STATE OF</w:t>
      </w:r>
      <w:r w:rsidRPr="00DF0098">
        <w:rPr>
          <w:rFonts w:ascii="Courier New" w:hAnsi="Courier New" w:cs="Courier New"/>
          <w:spacing w:val="-3"/>
        </w:rPr>
        <w:t xml:space="preserve"> </w:t>
      </w:r>
      <w:r w:rsidRPr="00DF0098">
        <w:rPr>
          <w:rFonts w:ascii="Courier New" w:hAnsi="Courier New" w:cs="Courier New"/>
        </w:rPr>
        <w:t>OKLAHOMA</w:t>
      </w:r>
    </w:p>
    <w:p w14:paraId="1F832C07" w14:textId="77777777" w:rsidR="008C41E6" w:rsidRPr="00DF0098" w:rsidRDefault="008C41E6" w:rsidP="008C41E6">
      <w:pPr>
        <w:jc w:val="center"/>
        <w:rPr>
          <w:rFonts w:ascii="Courier New" w:hAnsi="Courier New" w:cs="Courier New"/>
        </w:rPr>
      </w:pPr>
    </w:p>
    <w:p w14:paraId="063CDEA4" w14:textId="341E0E76" w:rsidR="008C41E6" w:rsidRPr="00DF0098" w:rsidRDefault="00B67662" w:rsidP="008C41E6">
      <w:pPr>
        <w:jc w:val="center"/>
        <w:rPr>
          <w:rFonts w:ascii="Courier New" w:hAnsi="Courier New" w:cs="Courier New"/>
        </w:rPr>
      </w:pPr>
      <w:r w:rsidRPr="00DF0098">
        <w:rPr>
          <w:rFonts w:ascii="Courier New" w:hAnsi="Courier New" w:cs="Courier New"/>
        </w:rPr>
        <w:t>1st Session of the 57th Legislature</w:t>
      </w:r>
      <w:r w:rsidR="001D6753" w:rsidRPr="00DF0098">
        <w:rPr>
          <w:rFonts w:ascii="Courier New" w:hAnsi="Courier New" w:cs="Courier New"/>
        </w:rPr>
        <w:t xml:space="preserve"> (2019)</w:t>
      </w:r>
    </w:p>
    <w:p w14:paraId="564101EB" w14:textId="77777777" w:rsidR="0038552A" w:rsidRPr="00DF0098" w:rsidRDefault="0038552A" w:rsidP="008C41E6">
      <w:pPr>
        <w:jc w:val="center"/>
        <w:rPr>
          <w:rFonts w:ascii="Courier New" w:hAnsi="Courier New" w:cs="Courier New"/>
        </w:rPr>
      </w:pPr>
    </w:p>
    <w:p w14:paraId="6AC7D4B0" w14:textId="14897A2F" w:rsidR="0038552A" w:rsidRPr="00DF0098" w:rsidRDefault="00D56EF9" w:rsidP="0038552A">
      <w:pPr>
        <w:rPr>
          <w:rFonts w:ascii="Courier New" w:hAnsi="Courier New" w:cs="Courier New"/>
        </w:rPr>
      </w:pPr>
      <w:r>
        <w:rPr>
          <w:rFonts w:ascii="Courier New" w:hAnsi="Courier New" w:cs="Courier New"/>
        </w:rPr>
        <w:t>HOUSE BILL</w:t>
      </w:r>
      <w:r w:rsidR="0038552A" w:rsidRPr="00DF0098">
        <w:rPr>
          <w:rFonts w:ascii="Courier New" w:hAnsi="Courier New" w:cs="Courier New"/>
        </w:rPr>
        <w:t xml:space="preserve"> XXXX</w:t>
      </w:r>
      <w:r w:rsidR="001A582A" w:rsidRPr="00DF0098">
        <w:rPr>
          <w:rFonts w:ascii="Courier New" w:hAnsi="Courier New" w:cs="Courier New"/>
        </w:rPr>
        <w:tab/>
      </w:r>
      <w:r w:rsidR="001A582A" w:rsidRPr="00DF0098">
        <w:rPr>
          <w:rFonts w:ascii="Courier New" w:hAnsi="Courier New" w:cs="Courier New"/>
        </w:rPr>
        <w:tab/>
      </w:r>
      <w:r w:rsidR="001A582A" w:rsidRPr="00DF0098">
        <w:rPr>
          <w:rFonts w:ascii="Courier New" w:hAnsi="Courier New" w:cs="Courier New"/>
        </w:rPr>
        <w:tab/>
      </w:r>
      <w:r w:rsidR="001A582A" w:rsidRPr="00DF0098">
        <w:rPr>
          <w:rFonts w:ascii="Courier New" w:hAnsi="Courier New" w:cs="Courier New"/>
        </w:rPr>
        <w:tab/>
        <w:t>By: ________</w:t>
      </w:r>
    </w:p>
    <w:p w14:paraId="1E358534" w14:textId="77777777" w:rsidR="002F0623" w:rsidRPr="00DF0098" w:rsidRDefault="002F0623" w:rsidP="0038552A">
      <w:pPr>
        <w:rPr>
          <w:rFonts w:ascii="Courier New" w:hAnsi="Courier New" w:cs="Courier New"/>
        </w:rPr>
      </w:pPr>
    </w:p>
    <w:p w14:paraId="0643DF2E" w14:textId="77777777" w:rsidR="002F0623" w:rsidRPr="00DF0098" w:rsidRDefault="002F0623" w:rsidP="0038552A">
      <w:pPr>
        <w:rPr>
          <w:rFonts w:ascii="Courier New" w:hAnsi="Courier New" w:cs="Courier New"/>
        </w:rPr>
      </w:pPr>
    </w:p>
    <w:p w14:paraId="74D59F88" w14:textId="77777777" w:rsidR="002F0623" w:rsidRPr="00DF0098" w:rsidRDefault="002F0623" w:rsidP="0038552A">
      <w:pPr>
        <w:rPr>
          <w:rFonts w:ascii="Courier New" w:hAnsi="Courier New" w:cs="Courier New"/>
        </w:rPr>
      </w:pPr>
    </w:p>
    <w:p w14:paraId="42560A9C" w14:textId="77777777" w:rsidR="002F0623" w:rsidRPr="00DF0098" w:rsidRDefault="002F0623" w:rsidP="0038552A">
      <w:pPr>
        <w:rPr>
          <w:rFonts w:ascii="Courier New" w:hAnsi="Courier New" w:cs="Courier New"/>
        </w:rPr>
      </w:pPr>
    </w:p>
    <w:p w14:paraId="79E1D337" w14:textId="77777777" w:rsidR="002F0623" w:rsidRPr="00DF0098" w:rsidRDefault="002F0623" w:rsidP="0038552A">
      <w:pPr>
        <w:rPr>
          <w:rFonts w:ascii="Courier New" w:hAnsi="Courier New" w:cs="Courier New"/>
        </w:rPr>
      </w:pPr>
    </w:p>
    <w:p w14:paraId="6770EF4C" w14:textId="72991C6F" w:rsidR="002F0623" w:rsidRDefault="002F0623" w:rsidP="002F0623">
      <w:pPr>
        <w:jc w:val="center"/>
        <w:rPr>
          <w:rFonts w:ascii="Courier New" w:hAnsi="Courier New" w:cs="Courier New"/>
          <w:u w:val="single"/>
        </w:rPr>
      </w:pPr>
      <w:r w:rsidRPr="008918C2">
        <w:rPr>
          <w:rFonts w:ascii="Courier New" w:hAnsi="Courier New" w:cs="Courier New"/>
          <w:u w:val="single"/>
        </w:rPr>
        <w:t>As Introduced</w:t>
      </w:r>
    </w:p>
    <w:p w14:paraId="71F6F6F2" w14:textId="77777777" w:rsidR="008918C2" w:rsidRPr="008918C2" w:rsidRDefault="008918C2" w:rsidP="002F0623">
      <w:pPr>
        <w:jc w:val="center"/>
        <w:rPr>
          <w:rFonts w:ascii="Courier New" w:hAnsi="Courier New" w:cs="Courier New"/>
          <w:u w:val="single"/>
        </w:rPr>
      </w:pPr>
    </w:p>
    <w:p w14:paraId="76E4C8C1" w14:textId="0780B7E8" w:rsidR="002F0623" w:rsidRPr="00DF0098" w:rsidRDefault="002F0623" w:rsidP="002F0623">
      <w:pPr>
        <w:ind w:left="720"/>
        <w:rPr>
          <w:rFonts w:ascii="Courier New" w:hAnsi="Courier New" w:cs="Courier New"/>
        </w:rPr>
      </w:pPr>
      <w:r w:rsidRPr="00DF0098">
        <w:rPr>
          <w:rFonts w:ascii="Courier New" w:hAnsi="Courier New" w:cs="Courier New"/>
        </w:rPr>
        <w:t xml:space="preserve">An Act relating to insurance; creating </w:t>
      </w:r>
      <w:r w:rsidR="00AF7677" w:rsidRPr="00DF0098">
        <w:rPr>
          <w:rFonts w:ascii="Courier New" w:hAnsi="Courier New" w:cs="Courier New"/>
        </w:rPr>
        <w:t>Tim’s</w:t>
      </w:r>
      <w:r w:rsidRPr="00DF0098">
        <w:rPr>
          <w:rFonts w:ascii="Courier New" w:hAnsi="Courier New" w:cs="Courier New"/>
        </w:rPr>
        <w:t xml:space="preserve"> Law; requiring </w:t>
      </w:r>
      <w:r w:rsidR="004B7DB2">
        <w:rPr>
          <w:rFonts w:ascii="Courier New" w:hAnsi="Courier New" w:cs="Courier New"/>
        </w:rPr>
        <w:t xml:space="preserve">insurer </w:t>
      </w:r>
      <w:r w:rsidRPr="00DF0098">
        <w:rPr>
          <w:rFonts w:ascii="Courier New" w:hAnsi="Courier New" w:cs="Courier New"/>
        </w:rPr>
        <w:t>transparency and accountability</w:t>
      </w:r>
      <w:r w:rsidR="00527BB9" w:rsidRPr="00DF0098">
        <w:rPr>
          <w:rFonts w:ascii="Courier New" w:hAnsi="Courier New" w:cs="Courier New"/>
        </w:rPr>
        <w:t>.</w:t>
      </w:r>
    </w:p>
    <w:p w14:paraId="023C1823" w14:textId="77777777" w:rsidR="00AF7677" w:rsidRPr="00DF0098" w:rsidRDefault="00AF7677" w:rsidP="00AF7677">
      <w:pPr>
        <w:rPr>
          <w:rFonts w:ascii="Courier New" w:hAnsi="Courier New" w:cs="Courier New"/>
        </w:rPr>
      </w:pPr>
    </w:p>
    <w:p w14:paraId="444C82E9" w14:textId="77777777" w:rsidR="00AF7677" w:rsidRPr="00DF0098" w:rsidRDefault="00AF7677" w:rsidP="00AF7677">
      <w:pPr>
        <w:rPr>
          <w:rFonts w:ascii="Courier New" w:hAnsi="Courier New" w:cs="Courier New"/>
        </w:rPr>
      </w:pPr>
      <w:r w:rsidRPr="00DF0098">
        <w:rPr>
          <w:rFonts w:ascii="Courier New" w:hAnsi="Courier New" w:cs="Courier New"/>
        </w:rPr>
        <w:t>BE IT ENACTED BY THE PEOPLE OF THE STATE OF OKLAHOMA:</w:t>
      </w:r>
    </w:p>
    <w:p w14:paraId="635D65E2" w14:textId="77777777" w:rsidR="00AF7677" w:rsidRPr="00DF0098" w:rsidRDefault="00AF7677" w:rsidP="00AF7677">
      <w:pPr>
        <w:rPr>
          <w:rFonts w:ascii="Courier New" w:hAnsi="Courier New" w:cs="Courier New"/>
        </w:rPr>
      </w:pPr>
    </w:p>
    <w:p w14:paraId="4C827831" w14:textId="61FE0146" w:rsidR="00AF7677" w:rsidRPr="00DF0098" w:rsidRDefault="00AF7677" w:rsidP="00AF7677">
      <w:pPr>
        <w:rPr>
          <w:rFonts w:ascii="Courier New" w:hAnsi="Courier New" w:cs="Courier New"/>
        </w:rPr>
      </w:pPr>
      <w:r w:rsidRPr="00DF0098">
        <w:rPr>
          <w:rFonts w:ascii="Courier New" w:hAnsi="Courier New" w:cs="Courier New"/>
        </w:rPr>
        <w:tab/>
        <w:t>Section 1.   NEW LAW   A new section of law to be codified in the Oklahoma Statutes as Section 6060.12b of Title 36, unless there is created a duplication in numbering, reads as follows:</w:t>
      </w:r>
    </w:p>
    <w:p w14:paraId="111A748F" w14:textId="17851FBD" w:rsidR="00AF7677" w:rsidRPr="00DF0098" w:rsidRDefault="00AF7677" w:rsidP="00AF7677">
      <w:pPr>
        <w:rPr>
          <w:rFonts w:ascii="Courier New" w:hAnsi="Courier New" w:cs="Courier New"/>
        </w:rPr>
      </w:pPr>
    </w:p>
    <w:p w14:paraId="6883CF8A" w14:textId="33781E1E" w:rsidR="00AF7677" w:rsidRPr="00DF0098" w:rsidRDefault="00AF7677" w:rsidP="00AF7677">
      <w:pPr>
        <w:rPr>
          <w:rFonts w:ascii="Courier New" w:hAnsi="Courier New" w:cs="Courier New"/>
        </w:rPr>
      </w:pPr>
      <w:r w:rsidRPr="00DF0098">
        <w:rPr>
          <w:rFonts w:ascii="Courier New" w:hAnsi="Courier New" w:cs="Courier New"/>
        </w:rPr>
        <w:tab/>
        <w:t>A. This section shall be known and may be cited as “Tim’s Law”.</w:t>
      </w:r>
    </w:p>
    <w:p w14:paraId="0172FD9D" w14:textId="6F3B9E38" w:rsidR="00AF7677" w:rsidRPr="00DF0098" w:rsidRDefault="00AF7677" w:rsidP="00AF7677">
      <w:pPr>
        <w:rPr>
          <w:rFonts w:ascii="Courier New" w:hAnsi="Courier New" w:cs="Courier New"/>
        </w:rPr>
      </w:pPr>
      <w:r w:rsidRPr="00DF0098">
        <w:rPr>
          <w:rFonts w:ascii="Courier New" w:hAnsi="Courier New" w:cs="Courier New"/>
        </w:rPr>
        <w:tab/>
        <w:t xml:space="preserve">B. </w:t>
      </w:r>
      <w:r w:rsidR="004E307F" w:rsidRPr="00DF0098">
        <w:rPr>
          <w:rFonts w:ascii="Courier New" w:hAnsi="Courier New" w:cs="Courier New"/>
        </w:rPr>
        <w:t xml:space="preserve">Each insurer that offers, issues, or renews any individual or group health benefit plan that provides mental health or substance abuse disorder benefits shall submit an annual report to the Commissioner on or before </w:t>
      </w:r>
      <w:r w:rsidR="00591B3F" w:rsidRPr="00DF0098">
        <w:rPr>
          <w:rFonts w:ascii="Courier New" w:hAnsi="Courier New" w:cs="Courier New"/>
        </w:rPr>
        <w:t>April 1st</w:t>
      </w:r>
      <w:r w:rsidR="004E307F" w:rsidRPr="00DF0098">
        <w:rPr>
          <w:rFonts w:ascii="Courier New" w:hAnsi="Courier New" w:cs="Courier New"/>
        </w:rPr>
        <w:t xml:space="preserve"> that contains the following information:</w:t>
      </w:r>
    </w:p>
    <w:p w14:paraId="579A71B3" w14:textId="566D509B" w:rsidR="00591B3F" w:rsidRPr="00DF0098" w:rsidRDefault="00591B3F" w:rsidP="00591B3F">
      <w:pPr>
        <w:rPr>
          <w:rFonts w:ascii="Courier New" w:hAnsi="Courier New" w:cs="Courier New"/>
        </w:rPr>
      </w:pPr>
      <w:r w:rsidRPr="00DF0098">
        <w:rPr>
          <w:rFonts w:ascii="Courier New" w:hAnsi="Courier New" w:cs="Courier New"/>
        </w:rPr>
        <w:tab/>
        <w:t>1. A description of the process used to develop or select the medical necessity criteria for mental health and substance abuse disorder benefits and the process used to develop or select the medical necessity criteria for</w:t>
      </w:r>
      <w:r w:rsidR="00FD7FFA" w:rsidRPr="00DF0098">
        <w:rPr>
          <w:rFonts w:ascii="Courier New" w:hAnsi="Courier New" w:cs="Courier New"/>
        </w:rPr>
        <w:t xml:space="preserve"> medical and surgical benefits;</w:t>
      </w:r>
    </w:p>
    <w:p w14:paraId="5B08D224" w14:textId="113AA0CB" w:rsidR="00591B3F" w:rsidRPr="00DF0098" w:rsidRDefault="00591B3F" w:rsidP="00591B3F">
      <w:pPr>
        <w:ind w:firstLine="720"/>
        <w:rPr>
          <w:rFonts w:ascii="Courier New" w:hAnsi="Courier New" w:cs="Courier New"/>
        </w:rPr>
      </w:pPr>
      <w:r w:rsidRPr="00DF0098">
        <w:rPr>
          <w:rFonts w:ascii="Courier New" w:hAnsi="Courier New" w:cs="Courier New"/>
        </w:rPr>
        <w:t>2. Identification of all non-quantitative treatment limitations (NQTLs) that are applied to both mental health and substance abuse disorder benefits and medical and surgical benefits within each classification of benefits; there may be no separate NQTLs that apply to mental health and substance abuse disorder benefits but do not apply to medical and surgical benefits within</w:t>
      </w:r>
      <w:r w:rsidR="00FD7FFA" w:rsidRPr="00DF0098">
        <w:rPr>
          <w:rFonts w:ascii="Courier New" w:hAnsi="Courier New" w:cs="Courier New"/>
        </w:rPr>
        <w:t xml:space="preserve"> any classification of benefits;</w:t>
      </w:r>
    </w:p>
    <w:p w14:paraId="7C72A16A" w14:textId="2223FF18" w:rsidR="00591B3F" w:rsidRPr="00DF0098" w:rsidRDefault="00591B3F" w:rsidP="00591B3F">
      <w:pPr>
        <w:ind w:firstLine="720"/>
        <w:rPr>
          <w:rFonts w:ascii="Courier New" w:hAnsi="Courier New" w:cs="Courier New"/>
        </w:rPr>
      </w:pPr>
      <w:r w:rsidRPr="00DF0098">
        <w:rPr>
          <w:rFonts w:ascii="Courier New" w:hAnsi="Courier New" w:cs="Courier New"/>
        </w:rPr>
        <w:t xml:space="preserve">3. The results of an analysis that demonstrates that for the medical necessity criteria described in paragraph 1 and for each NQTL identified in paragraph 2, as written and in operation, the processes, strategies, evidentiary standards, or other factors used in applying the medical </w:t>
      </w:r>
      <w:r w:rsidRPr="00DF0098">
        <w:rPr>
          <w:rFonts w:ascii="Courier New" w:hAnsi="Courier New" w:cs="Courier New"/>
        </w:rPr>
        <w:lastRenderedPageBreak/>
        <w:t xml:space="preserve">necessity criteria and each NQTL to mental health and substance </w:t>
      </w:r>
      <w:r w:rsidR="00576924" w:rsidRPr="00DF0098">
        <w:rPr>
          <w:rFonts w:ascii="Courier New" w:hAnsi="Courier New" w:cs="Courier New"/>
        </w:rPr>
        <w:t>abuse</w:t>
      </w:r>
      <w:r w:rsidRPr="00DF0098">
        <w:rPr>
          <w:rFonts w:ascii="Courier New" w:hAnsi="Courier New" w:cs="Courier New"/>
        </w:rPr>
        <w:t xml:space="preserve"> disorder benefits within each classification of benefits are comparable to, and are applied no more stringently than, the processes, strategies, evidentiary standards, or other factors used in applying the medical necessity criteria and each NQTL to medical and surgical benefits within the corresponding classification of benefits; at a minimum, the results of the analysis shall:</w:t>
      </w:r>
    </w:p>
    <w:p w14:paraId="3BA0FF77" w14:textId="42E9C4B8" w:rsidR="00FD7FFA" w:rsidRPr="00DF0098" w:rsidRDefault="00FD7FFA" w:rsidP="00FD7FFA">
      <w:pPr>
        <w:ind w:firstLine="720"/>
        <w:rPr>
          <w:rFonts w:ascii="Courier New" w:hAnsi="Courier New" w:cs="Courier New"/>
        </w:rPr>
      </w:pPr>
      <w:r w:rsidRPr="00DF0098">
        <w:rPr>
          <w:rFonts w:ascii="Courier New" w:hAnsi="Courier New" w:cs="Courier New"/>
        </w:rPr>
        <w:t>a. Identify the factors used to determine that an NQTL will apply to a benefit, including factors that were considered but rejected;</w:t>
      </w:r>
    </w:p>
    <w:p w14:paraId="2A754C74" w14:textId="11373496" w:rsidR="00FD7FFA" w:rsidRPr="00DF0098" w:rsidRDefault="00FD7FFA" w:rsidP="00FD7FFA">
      <w:pPr>
        <w:ind w:firstLine="720"/>
        <w:rPr>
          <w:rFonts w:ascii="Courier New" w:hAnsi="Courier New" w:cs="Courier New"/>
        </w:rPr>
      </w:pPr>
      <w:r w:rsidRPr="00DF0098">
        <w:rPr>
          <w:rFonts w:ascii="Courier New" w:hAnsi="Courier New" w:cs="Courier New"/>
        </w:rPr>
        <w:t>b. Identify and define the specific evidentiary standards used to define the factors and any other evidence relied upon in designing each NQTL;</w:t>
      </w:r>
    </w:p>
    <w:p w14:paraId="7102B7E8" w14:textId="3D6B27FB" w:rsidR="00FD7FFA" w:rsidRPr="00DF0098" w:rsidRDefault="00FD7FFA" w:rsidP="00FD7FFA">
      <w:pPr>
        <w:ind w:firstLine="720"/>
        <w:rPr>
          <w:rFonts w:ascii="Courier New" w:hAnsi="Courier New" w:cs="Courier New"/>
        </w:rPr>
      </w:pPr>
      <w:r w:rsidRPr="00DF0098">
        <w:rPr>
          <w:rFonts w:ascii="Courier New" w:hAnsi="Courier New" w:cs="Courier New"/>
        </w:rPr>
        <w:t xml:space="preserve">c. Provide the comparative analyses, including the results of the analyses, performed to determine that the processes and strategies used to design each NQTL, as written, and the as written processes and strategies used to apply the NQTL to mental health and substance </w:t>
      </w:r>
      <w:r w:rsidR="00F33CB0" w:rsidRPr="00DF0098">
        <w:rPr>
          <w:rFonts w:ascii="Courier New" w:hAnsi="Courier New" w:cs="Courier New"/>
        </w:rPr>
        <w:t>abuse</w:t>
      </w:r>
      <w:r w:rsidRPr="00DF0098">
        <w:rPr>
          <w:rFonts w:ascii="Courier New" w:hAnsi="Courier New" w:cs="Courier New"/>
        </w:rPr>
        <w:t xml:space="preserve"> disorder benefits are comparable to, and are applied no more stringently than, the processes and strategies used to design each NQTL, as written, and the as written processes and strategies used to apply the NQTL to medical and surgical benefits;</w:t>
      </w:r>
    </w:p>
    <w:p w14:paraId="10564136" w14:textId="67AED536" w:rsidR="00FD7FFA" w:rsidRPr="00DF0098" w:rsidRDefault="00FD7FFA" w:rsidP="00FD7FFA">
      <w:pPr>
        <w:ind w:firstLine="720"/>
        <w:rPr>
          <w:rFonts w:ascii="Courier New" w:hAnsi="Courier New" w:cs="Courier New"/>
        </w:rPr>
      </w:pPr>
      <w:r w:rsidRPr="00DF0098">
        <w:rPr>
          <w:rFonts w:ascii="Courier New" w:hAnsi="Courier New" w:cs="Courier New"/>
        </w:rPr>
        <w:t xml:space="preserve">d. Provide the comparative analyses, including the results of the analyses, performed to determine that the processes and strategies used to apply each NQTL, in operation, for mental health and substance </w:t>
      </w:r>
      <w:r w:rsidR="00F33CB0" w:rsidRPr="00DF0098">
        <w:rPr>
          <w:rFonts w:ascii="Courier New" w:hAnsi="Courier New" w:cs="Courier New"/>
        </w:rPr>
        <w:t>abuse</w:t>
      </w:r>
      <w:r w:rsidRPr="00DF0098">
        <w:rPr>
          <w:rFonts w:ascii="Courier New" w:hAnsi="Courier New" w:cs="Courier New"/>
        </w:rPr>
        <w:t xml:space="preserve"> disorder benefits are comparable to, and are applied no more stringently than, the processes or strategies used to apply each NQTL, in operation, for medical and surgical benefits; and</w:t>
      </w:r>
    </w:p>
    <w:p w14:paraId="581066E5" w14:textId="048D7C64" w:rsidR="00FD7FFA" w:rsidRDefault="00FD7FFA" w:rsidP="00FD7FFA">
      <w:pPr>
        <w:ind w:firstLine="720"/>
        <w:rPr>
          <w:rFonts w:ascii="Courier New" w:hAnsi="Courier New" w:cs="Courier New"/>
        </w:rPr>
      </w:pPr>
      <w:r w:rsidRPr="00DF0098">
        <w:rPr>
          <w:rFonts w:ascii="Courier New" w:hAnsi="Courier New" w:cs="Courier New"/>
        </w:rPr>
        <w:t>e. Disclose the specific findings and conclusions reached by the insurer that the results of the analyses above indicate that the insurer is in compliance with this section and the Mental Health Parity and Addiction Equity Act of 2008 and its implementing and related regulations, which includes 45 CFR 146.136, 45 CFR 147.160, and 45 CFR 156.115(a)(3).</w:t>
      </w:r>
    </w:p>
    <w:p w14:paraId="05C64383" w14:textId="6471C8F2" w:rsidR="00314631" w:rsidRPr="00DF0098" w:rsidRDefault="00314631" w:rsidP="00314631">
      <w:pPr>
        <w:ind w:firstLine="720"/>
        <w:rPr>
          <w:rFonts w:ascii="Courier New" w:hAnsi="Courier New" w:cs="Courier New"/>
        </w:rPr>
      </w:pPr>
      <w:r>
        <w:rPr>
          <w:rFonts w:ascii="Courier New" w:hAnsi="Courier New" w:cs="Courier New"/>
        </w:rPr>
        <w:t>C</w:t>
      </w:r>
      <w:r w:rsidRPr="00DF0098">
        <w:rPr>
          <w:rFonts w:ascii="Courier New" w:hAnsi="Courier New" w:cs="Courier New"/>
        </w:rPr>
        <w:t>. For the purposes of this section:</w:t>
      </w:r>
    </w:p>
    <w:p w14:paraId="2218BA27" w14:textId="77777777" w:rsidR="00314631" w:rsidRPr="00DF0098" w:rsidRDefault="00314631" w:rsidP="00314631">
      <w:pPr>
        <w:ind w:firstLine="720"/>
        <w:rPr>
          <w:rFonts w:ascii="Courier New" w:hAnsi="Courier New" w:cs="Courier New"/>
        </w:rPr>
      </w:pPr>
      <w:r w:rsidRPr="00DF0098">
        <w:rPr>
          <w:rFonts w:ascii="Courier New" w:hAnsi="Courier New" w:cs="Courier New"/>
        </w:rPr>
        <w:t>1. “Health benefit plan” means any plan or arrangement as defined in subsection C of Section 6060.4 of Title 36 of the Oklahoma Statutes;</w:t>
      </w:r>
    </w:p>
    <w:p w14:paraId="29AA4189" w14:textId="77777777" w:rsidR="00314631" w:rsidRPr="00DF0098" w:rsidRDefault="00314631" w:rsidP="00314631">
      <w:pPr>
        <w:ind w:firstLine="720"/>
        <w:rPr>
          <w:rFonts w:ascii="Courier New" w:hAnsi="Courier New" w:cs="Courier New"/>
        </w:rPr>
      </w:pPr>
      <w:r w:rsidRPr="00DF0098">
        <w:rPr>
          <w:rFonts w:ascii="Courier New" w:hAnsi="Courier New" w:cs="Courier New"/>
        </w:rPr>
        <w:t xml:space="preserve">2. “Insurer” means any entity that provides an accident and health insurance policy in this state, including but not limited to a licensed insurance company, a not-for-profit hospital service and medical indemnity corporation, a fraternal benefit society, a multiple employer welfare arrangement, or any other entity subject to regulation by the Insurance Commissioner; and </w:t>
      </w:r>
    </w:p>
    <w:p w14:paraId="18A04C6C" w14:textId="475730F5" w:rsidR="00314631" w:rsidRPr="00DF0098" w:rsidRDefault="00314631" w:rsidP="001275E1">
      <w:pPr>
        <w:ind w:firstLine="720"/>
        <w:rPr>
          <w:rFonts w:ascii="Courier New" w:hAnsi="Courier New" w:cs="Courier New"/>
        </w:rPr>
      </w:pPr>
      <w:r w:rsidRPr="00DF0098">
        <w:rPr>
          <w:rFonts w:ascii="Courier New" w:hAnsi="Courier New" w:cs="Courier New"/>
        </w:rPr>
        <w:t xml:space="preserve">3. “Mental health and substance abuse disorder benefits” means benefits for the treatment of any condition or disorder that involves a mental health condition or substance </w:t>
      </w:r>
      <w:r w:rsidR="000317E7">
        <w:rPr>
          <w:rFonts w:ascii="Courier New" w:hAnsi="Courier New" w:cs="Courier New"/>
        </w:rPr>
        <w:t>abuse</w:t>
      </w:r>
      <w:bookmarkStart w:id="0" w:name="_GoBack"/>
      <w:bookmarkEnd w:id="0"/>
      <w:r w:rsidRPr="00DF0098">
        <w:rPr>
          <w:rFonts w:ascii="Courier New" w:hAnsi="Courier New" w:cs="Courier New"/>
        </w:rPr>
        <w:t xml:space="preserve"> disorder that falls under any of the diagnostic categories listed in the mental disorders section of the current edition of the International Classification of Disease or that is listed in the mental disorders section of the most recent version of the Diagnostic and Statistical Manual of Mental Disorders.</w:t>
      </w:r>
    </w:p>
    <w:p w14:paraId="4ACEC544" w14:textId="2AFB4AB8" w:rsidR="004B3451" w:rsidRDefault="001C12ED" w:rsidP="00936056">
      <w:pPr>
        <w:ind w:firstLine="720"/>
        <w:rPr>
          <w:rFonts w:ascii="Courier New" w:hAnsi="Courier New" w:cs="Courier New"/>
        </w:rPr>
      </w:pPr>
      <w:r>
        <w:rPr>
          <w:rFonts w:ascii="Courier New" w:hAnsi="Courier New" w:cs="Courier New"/>
        </w:rPr>
        <w:t>Section 2</w:t>
      </w:r>
      <w:r w:rsidR="004B3451">
        <w:rPr>
          <w:rFonts w:ascii="Courier New" w:hAnsi="Courier New" w:cs="Courier New"/>
        </w:rPr>
        <w:t>. This Act shall become effective November 1, 2019.</w:t>
      </w:r>
    </w:p>
    <w:p w14:paraId="2273D4AF" w14:textId="77777777" w:rsidR="000F452A" w:rsidRDefault="000F452A" w:rsidP="00936056">
      <w:pPr>
        <w:ind w:firstLine="720"/>
        <w:rPr>
          <w:rFonts w:ascii="Courier New" w:hAnsi="Courier New" w:cs="Courier New"/>
        </w:rPr>
      </w:pPr>
    </w:p>
    <w:p w14:paraId="50B30967" w14:textId="093897B6" w:rsidR="000F452A" w:rsidRPr="00DF0098" w:rsidRDefault="000F452A" w:rsidP="00936056">
      <w:pPr>
        <w:ind w:firstLine="720"/>
        <w:rPr>
          <w:rFonts w:ascii="Courier New" w:hAnsi="Courier New" w:cs="Courier New"/>
        </w:rPr>
      </w:pPr>
      <w:r>
        <w:rPr>
          <w:rFonts w:ascii="Courier New" w:hAnsi="Courier New" w:cs="Courier New"/>
        </w:rPr>
        <w:t>57-1-XXXX</w:t>
      </w:r>
      <w:r w:rsidR="00612F96">
        <w:rPr>
          <w:rFonts w:ascii="Courier New" w:hAnsi="Courier New" w:cs="Courier New"/>
        </w:rPr>
        <w:tab/>
      </w:r>
      <w:r w:rsidR="00612F96">
        <w:rPr>
          <w:rFonts w:ascii="Courier New" w:hAnsi="Courier New" w:cs="Courier New"/>
        </w:rPr>
        <w:tab/>
        <w:t>SDR</w:t>
      </w:r>
      <w:r w:rsidR="00612F96">
        <w:rPr>
          <w:rFonts w:ascii="Courier New" w:hAnsi="Courier New" w:cs="Courier New"/>
        </w:rPr>
        <w:tab/>
      </w:r>
      <w:r w:rsidR="00612F96">
        <w:rPr>
          <w:rFonts w:ascii="Courier New" w:hAnsi="Courier New" w:cs="Courier New"/>
        </w:rPr>
        <w:tab/>
        <w:t>XX/XX/XX</w:t>
      </w:r>
    </w:p>
    <w:p w14:paraId="23435645" w14:textId="77777777" w:rsidR="00AF7677" w:rsidRPr="00DF0098" w:rsidRDefault="00AF7677" w:rsidP="00AF7677">
      <w:pPr>
        <w:rPr>
          <w:rFonts w:ascii="Courier New" w:hAnsi="Courier New" w:cs="Courier New"/>
        </w:rPr>
      </w:pPr>
    </w:p>
    <w:p w14:paraId="6835E1BD" w14:textId="77777777" w:rsidR="008C41E6" w:rsidRPr="00DF0098" w:rsidRDefault="008C41E6" w:rsidP="008C41E6">
      <w:pPr>
        <w:jc w:val="center"/>
        <w:rPr>
          <w:rFonts w:ascii="Times" w:hAnsi="Times"/>
        </w:rPr>
      </w:pPr>
    </w:p>
    <w:sectPr w:rsidR="008C41E6" w:rsidRPr="00DF0098" w:rsidSect="00202113">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17435" w14:textId="77777777" w:rsidR="00370021" w:rsidRDefault="00370021" w:rsidP="00370021">
      <w:r>
        <w:separator/>
      </w:r>
    </w:p>
  </w:endnote>
  <w:endnote w:type="continuationSeparator" w:id="0">
    <w:p w14:paraId="1EB5BB0B" w14:textId="77777777" w:rsidR="00370021" w:rsidRDefault="00370021" w:rsidP="0037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2E462" w14:textId="77777777" w:rsidR="003652F0" w:rsidRDefault="003652F0" w:rsidP="00462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2DA05" w14:textId="77777777" w:rsidR="003652F0" w:rsidRDefault="003652F0" w:rsidP="003652F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305306" w14:textId="77777777" w:rsidR="003652F0" w:rsidRDefault="003652F0" w:rsidP="00462E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17E7">
      <w:rPr>
        <w:rStyle w:val="PageNumber"/>
        <w:noProof/>
      </w:rPr>
      <w:t>1</w:t>
    </w:r>
    <w:r>
      <w:rPr>
        <w:rStyle w:val="PageNumber"/>
      </w:rPr>
      <w:fldChar w:fldCharType="end"/>
    </w:r>
  </w:p>
  <w:p w14:paraId="6F331792" w14:textId="5172AC0F" w:rsidR="00370021" w:rsidRPr="00370021" w:rsidRDefault="00370021" w:rsidP="003652F0">
    <w:pPr>
      <w:pStyle w:val="Footer"/>
      <w:ind w:right="360"/>
      <w:rPr>
        <w:rFonts w:ascii="Courier New" w:hAnsi="Courier New" w:cs="Courier New"/>
      </w:rPr>
    </w:pPr>
    <w:r>
      <w:rPr>
        <w:rFonts w:ascii="Courier New" w:hAnsi="Courier New" w:cs="Courier New"/>
      </w:rPr>
      <w:t>Req. No. XXXX</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B10F6" w14:textId="77777777" w:rsidR="00370021" w:rsidRDefault="00370021" w:rsidP="00370021">
      <w:r>
        <w:separator/>
      </w:r>
    </w:p>
  </w:footnote>
  <w:footnote w:type="continuationSeparator" w:id="0">
    <w:p w14:paraId="7BAC845F" w14:textId="77777777" w:rsidR="00370021" w:rsidRDefault="00370021" w:rsidP="00370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1E6"/>
    <w:rsid w:val="000317E7"/>
    <w:rsid w:val="00040E97"/>
    <w:rsid w:val="000A0A78"/>
    <w:rsid w:val="000F452A"/>
    <w:rsid w:val="001275E1"/>
    <w:rsid w:val="001A582A"/>
    <w:rsid w:val="001C12ED"/>
    <w:rsid w:val="001D6753"/>
    <w:rsid w:val="00202113"/>
    <w:rsid w:val="002F0623"/>
    <w:rsid w:val="00314631"/>
    <w:rsid w:val="003652F0"/>
    <w:rsid w:val="00370021"/>
    <w:rsid w:val="0038552A"/>
    <w:rsid w:val="003F7083"/>
    <w:rsid w:val="004B3451"/>
    <w:rsid w:val="004B7DB2"/>
    <w:rsid w:val="004E307F"/>
    <w:rsid w:val="00527BB9"/>
    <w:rsid w:val="00576924"/>
    <w:rsid w:val="00591B3F"/>
    <w:rsid w:val="00612F96"/>
    <w:rsid w:val="007E18B6"/>
    <w:rsid w:val="00803BA6"/>
    <w:rsid w:val="00825D1C"/>
    <w:rsid w:val="00846976"/>
    <w:rsid w:val="008918C2"/>
    <w:rsid w:val="00892C4F"/>
    <w:rsid w:val="008C41E6"/>
    <w:rsid w:val="00936056"/>
    <w:rsid w:val="00AB7E53"/>
    <w:rsid w:val="00AF7677"/>
    <w:rsid w:val="00B562F8"/>
    <w:rsid w:val="00B67662"/>
    <w:rsid w:val="00D56EF9"/>
    <w:rsid w:val="00DA1DBE"/>
    <w:rsid w:val="00DF0098"/>
    <w:rsid w:val="00E550AA"/>
    <w:rsid w:val="00F33CB0"/>
    <w:rsid w:val="00F50450"/>
    <w:rsid w:val="00FD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188D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021"/>
    <w:pPr>
      <w:tabs>
        <w:tab w:val="center" w:pos="4320"/>
        <w:tab w:val="right" w:pos="8640"/>
      </w:tabs>
    </w:pPr>
  </w:style>
  <w:style w:type="character" w:customStyle="1" w:styleId="HeaderChar">
    <w:name w:val="Header Char"/>
    <w:basedOn w:val="DefaultParagraphFont"/>
    <w:link w:val="Header"/>
    <w:uiPriority w:val="99"/>
    <w:rsid w:val="00370021"/>
  </w:style>
  <w:style w:type="paragraph" w:styleId="Footer">
    <w:name w:val="footer"/>
    <w:basedOn w:val="Normal"/>
    <w:link w:val="FooterChar"/>
    <w:uiPriority w:val="99"/>
    <w:unhideWhenUsed/>
    <w:rsid w:val="00370021"/>
    <w:pPr>
      <w:tabs>
        <w:tab w:val="center" w:pos="4320"/>
        <w:tab w:val="right" w:pos="8640"/>
      </w:tabs>
    </w:pPr>
  </w:style>
  <w:style w:type="character" w:customStyle="1" w:styleId="FooterChar">
    <w:name w:val="Footer Char"/>
    <w:basedOn w:val="DefaultParagraphFont"/>
    <w:link w:val="Footer"/>
    <w:uiPriority w:val="99"/>
    <w:rsid w:val="00370021"/>
  </w:style>
  <w:style w:type="character" w:styleId="PageNumber">
    <w:name w:val="page number"/>
    <w:basedOn w:val="DefaultParagraphFont"/>
    <w:uiPriority w:val="99"/>
    <w:semiHidden/>
    <w:unhideWhenUsed/>
    <w:rsid w:val="003652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021"/>
    <w:pPr>
      <w:tabs>
        <w:tab w:val="center" w:pos="4320"/>
        <w:tab w:val="right" w:pos="8640"/>
      </w:tabs>
    </w:pPr>
  </w:style>
  <w:style w:type="character" w:customStyle="1" w:styleId="HeaderChar">
    <w:name w:val="Header Char"/>
    <w:basedOn w:val="DefaultParagraphFont"/>
    <w:link w:val="Header"/>
    <w:uiPriority w:val="99"/>
    <w:rsid w:val="00370021"/>
  </w:style>
  <w:style w:type="paragraph" w:styleId="Footer">
    <w:name w:val="footer"/>
    <w:basedOn w:val="Normal"/>
    <w:link w:val="FooterChar"/>
    <w:uiPriority w:val="99"/>
    <w:unhideWhenUsed/>
    <w:rsid w:val="00370021"/>
    <w:pPr>
      <w:tabs>
        <w:tab w:val="center" w:pos="4320"/>
        <w:tab w:val="right" w:pos="8640"/>
      </w:tabs>
    </w:pPr>
  </w:style>
  <w:style w:type="character" w:customStyle="1" w:styleId="FooterChar">
    <w:name w:val="Footer Char"/>
    <w:basedOn w:val="DefaultParagraphFont"/>
    <w:link w:val="Footer"/>
    <w:uiPriority w:val="99"/>
    <w:rsid w:val="00370021"/>
  </w:style>
  <w:style w:type="character" w:styleId="PageNumber">
    <w:name w:val="page number"/>
    <w:basedOn w:val="DefaultParagraphFont"/>
    <w:uiPriority w:val="99"/>
    <w:semiHidden/>
    <w:unhideWhenUsed/>
    <w:rsid w:val="00365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6617">
      <w:bodyDiv w:val="1"/>
      <w:marLeft w:val="0"/>
      <w:marRight w:val="0"/>
      <w:marTop w:val="0"/>
      <w:marBottom w:val="0"/>
      <w:divBdr>
        <w:top w:val="none" w:sz="0" w:space="0" w:color="auto"/>
        <w:left w:val="none" w:sz="0" w:space="0" w:color="auto"/>
        <w:bottom w:val="none" w:sz="0" w:space="0" w:color="auto"/>
        <w:right w:val="none" w:sz="0" w:space="0" w:color="auto"/>
      </w:divBdr>
    </w:div>
    <w:div w:id="1668246395">
      <w:bodyDiv w:val="1"/>
      <w:marLeft w:val="0"/>
      <w:marRight w:val="0"/>
      <w:marTop w:val="0"/>
      <w:marBottom w:val="0"/>
      <w:divBdr>
        <w:top w:val="none" w:sz="0" w:space="0" w:color="auto"/>
        <w:left w:val="none" w:sz="0" w:space="0" w:color="auto"/>
        <w:bottom w:val="none" w:sz="0" w:space="0" w:color="auto"/>
        <w:right w:val="none" w:sz="0" w:space="0" w:color="auto"/>
      </w:divBdr>
    </w:div>
    <w:div w:id="213714216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A51A1CC-8E25-AF40-AE40-58EF5734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726</Words>
  <Characters>4141</Characters>
  <Application>Microsoft Macintosh Word</Application>
  <DocSecurity>0</DocSecurity>
  <Lines>34</Lines>
  <Paragraphs>9</Paragraphs>
  <ScaleCrop>false</ScaleCrop>
  <Company>Scattergood Foundation</Company>
  <LinksUpToDate>false</LinksUpToDate>
  <CharactersWithSpaces>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Scattergood Foundation</dc:creator>
  <cp:keywords/>
  <dc:description/>
  <cp:lastModifiedBy>Scattergood Foundation</cp:lastModifiedBy>
  <cp:revision>7</cp:revision>
  <dcterms:created xsi:type="dcterms:W3CDTF">2018-08-26T18:57:00Z</dcterms:created>
  <dcterms:modified xsi:type="dcterms:W3CDTF">2018-08-27T17:22:00Z</dcterms:modified>
</cp:coreProperties>
</file>